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2.xml" ContentType="application/vnd.ms-office.chartex+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5.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F798" w14:textId="32AC8ACC" w:rsidR="000B762D" w:rsidRPr="007D46F2" w:rsidRDefault="00047822" w:rsidP="007D46F2">
      <w:pPr>
        <w:jc w:val="center"/>
        <w:rPr>
          <w:rFonts w:asciiTheme="majorHAnsi" w:hAnsiTheme="majorHAnsi" w:cstheme="minorHAnsi"/>
          <w:b/>
          <w:bCs/>
          <w:sz w:val="48"/>
          <w:szCs w:val="48"/>
        </w:rPr>
      </w:pPr>
      <w:r w:rsidRPr="00424B85">
        <w:rPr>
          <w:rFonts w:asciiTheme="majorHAnsi" w:hAnsiTheme="majorHAnsi" w:cstheme="minorHAnsi"/>
          <w:b/>
          <w:bCs/>
          <w:sz w:val="48"/>
          <w:szCs w:val="48"/>
        </w:rPr>
        <w:t xml:space="preserve">Credit Card </w:t>
      </w:r>
      <w:r w:rsidR="00EC1132" w:rsidRPr="00424B85">
        <w:rPr>
          <w:rFonts w:asciiTheme="majorHAnsi" w:hAnsiTheme="majorHAnsi" w:cstheme="minorHAnsi"/>
          <w:b/>
          <w:bCs/>
          <w:sz w:val="48"/>
          <w:szCs w:val="48"/>
        </w:rPr>
        <w:t xml:space="preserve">Sales </w:t>
      </w:r>
      <w:r w:rsidRPr="00424B85">
        <w:rPr>
          <w:rFonts w:asciiTheme="majorHAnsi" w:hAnsiTheme="majorHAnsi" w:cstheme="minorHAnsi"/>
          <w:b/>
          <w:bCs/>
          <w:sz w:val="48"/>
          <w:szCs w:val="48"/>
        </w:rPr>
        <w:t>Analysis</w:t>
      </w:r>
    </w:p>
    <w:p w14:paraId="27A750B1" w14:textId="7E219B91" w:rsidR="00823E0C" w:rsidRPr="00281728" w:rsidRDefault="00EE2519" w:rsidP="00823E0C">
      <w:pPr>
        <w:jc w:val="center"/>
        <w:rPr>
          <w:rFonts w:asciiTheme="majorHAnsi" w:hAnsiTheme="majorHAnsi"/>
          <w:b/>
          <w:bCs/>
          <w:sz w:val="48"/>
          <w:szCs w:val="48"/>
        </w:rPr>
      </w:pPr>
      <w:r w:rsidRPr="00281728">
        <w:rPr>
          <w:rFonts w:asciiTheme="majorHAnsi" w:hAnsiTheme="majorHAnsi"/>
          <w:b/>
          <w:bCs/>
          <w:sz w:val="48"/>
          <w:szCs w:val="48"/>
        </w:rPr>
        <w:t>Age</w:t>
      </w:r>
    </w:p>
    <w:p w14:paraId="2837774D" w14:textId="2B194897" w:rsidR="00FE62EE" w:rsidRDefault="00457DCD" w:rsidP="00700822">
      <w:pPr>
        <w:rPr>
          <w:sz w:val="28"/>
          <w:szCs w:val="28"/>
        </w:rPr>
      </w:pPr>
      <w:r>
        <w:rPr>
          <w:sz w:val="28"/>
          <w:szCs w:val="28"/>
        </w:rPr>
        <w:t xml:space="preserve">To start, we are going to look at </w:t>
      </w:r>
      <w:r w:rsidR="0000169A">
        <w:rPr>
          <w:sz w:val="28"/>
          <w:szCs w:val="28"/>
        </w:rPr>
        <w:t>the ages of our clients at</w:t>
      </w:r>
      <w:r w:rsidR="00F51975">
        <w:rPr>
          <w:sz w:val="28"/>
          <w:szCs w:val="28"/>
        </w:rPr>
        <w:t xml:space="preserve"> the</w:t>
      </w:r>
      <w:r w:rsidR="0000169A">
        <w:rPr>
          <w:sz w:val="28"/>
          <w:szCs w:val="28"/>
        </w:rPr>
        <w:t xml:space="preserve"> time of credit card application. </w:t>
      </w:r>
      <w:r w:rsidR="009B72E9">
        <w:rPr>
          <w:sz w:val="28"/>
          <w:szCs w:val="28"/>
        </w:rPr>
        <w:t xml:space="preserve">Our sample </w:t>
      </w:r>
      <w:r w:rsidR="00D329EF">
        <w:rPr>
          <w:sz w:val="28"/>
          <w:szCs w:val="28"/>
        </w:rPr>
        <w:t xml:space="preserve">spans a range of </w:t>
      </w:r>
      <w:r w:rsidR="00D329EF" w:rsidRPr="00DD6CC9">
        <w:rPr>
          <w:b/>
          <w:bCs/>
          <w:i/>
          <w:iCs/>
          <w:sz w:val="28"/>
          <w:szCs w:val="28"/>
        </w:rPr>
        <w:t>64.87</w:t>
      </w:r>
      <w:r w:rsidR="00D329EF" w:rsidRPr="00EB5997">
        <w:rPr>
          <w:b/>
          <w:bCs/>
          <w:sz w:val="28"/>
          <w:szCs w:val="28"/>
        </w:rPr>
        <w:t xml:space="preserve"> </w:t>
      </w:r>
      <w:r w:rsidR="00D329EF" w:rsidRPr="00A77FC9">
        <w:rPr>
          <w:sz w:val="28"/>
          <w:szCs w:val="28"/>
        </w:rPr>
        <w:t>years</w:t>
      </w:r>
      <w:r w:rsidR="00D329EF">
        <w:rPr>
          <w:sz w:val="28"/>
          <w:szCs w:val="28"/>
        </w:rPr>
        <w:t xml:space="preserve"> with a minimum value of </w:t>
      </w:r>
      <w:r w:rsidR="00D329EF" w:rsidRPr="00DD6CC9">
        <w:rPr>
          <w:b/>
          <w:bCs/>
          <w:i/>
          <w:iCs/>
          <w:sz w:val="28"/>
          <w:szCs w:val="28"/>
        </w:rPr>
        <w:t>21.29</w:t>
      </w:r>
      <w:r w:rsidR="00D329EF">
        <w:rPr>
          <w:sz w:val="28"/>
          <w:szCs w:val="28"/>
        </w:rPr>
        <w:t xml:space="preserve"> and a maximum of </w:t>
      </w:r>
      <w:r w:rsidR="00B4133A" w:rsidRPr="00DD6CC9">
        <w:rPr>
          <w:b/>
          <w:bCs/>
          <w:i/>
          <w:iCs/>
          <w:sz w:val="28"/>
          <w:szCs w:val="28"/>
        </w:rPr>
        <w:t>86.16</w:t>
      </w:r>
      <w:r w:rsidR="00B4133A">
        <w:rPr>
          <w:sz w:val="28"/>
          <w:szCs w:val="28"/>
        </w:rPr>
        <w:t xml:space="preserve">. </w:t>
      </w:r>
      <w:r w:rsidR="009350E8">
        <w:rPr>
          <w:sz w:val="28"/>
          <w:szCs w:val="28"/>
        </w:rPr>
        <w:t xml:space="preserve">The distribution of ages </w:t>
      </w:r>
      <w:r w:rsidR="00A960B7">
        <w:rPr>
          <w:sz w:val="28"/>
          <w:szCs w:val="28"/>
        </w:rPr>
        <w:t xml:space="preserve">is approximately normally distributed. </w:t>
      </w:r>
      <w:r w:rsidR="008910E0">
        <w:rPr>
          <w:sz w:val="28"/>
          <w:szCs w:val="28"/>
        </w:rPr>
        <w:t>Meaning that the data is</w:t>
      </w:r>
      <w:r w:rsidR="00DD1FED">
        <w:rPr>
          <w:sz w:val="28"/>
          <w:szCs w:val="28"/>
        </w:rPr>
        <w:t xml:space="preserve"> roughly symmetrical</w:t>
      </w:r>
      <w:r w:rsidR="008910E0">
        <w:rPr>
          <w:sz w:val="28"/>
          <w:szCs w:val="28"/>
        </w:rPr>
        <w:t>, following a</w:t>
      </w:r>
      <w:r w:rsidR="00DD1FED">
        <w:rPr>
          <w:sz w:val="28"/>
          <w:szCs w:val="28"/>
        </w:rPr>
        <w:t xml:space="preserve"> </w:t>
      </w:r>
      <w:r w:rsidR="004457CC">
        <w:rPr>
          <w:sz w:val="28"/>
          <w:szCs w:val="28"/>
        </w:rPr>
        <w:t>bell-shaped</w:t>
      </w:r>
      <w:r w:rsidR="00DD1FED">
        <w:rPr>
          <w:sz w:val="28"/>
          <w:szCs w:val="28"/>
        </w:rPr>
        <w:t xml:space="preserve"> curve</w:t>
      </w:r>
      <w:r w:rsidR="008910E0">
        <w:rPr>
          <w:sz w:val="28"/>
          <w:szCs w:val="28"/>
        </w:rPr>
        <w:t xml:space="preserve">. A skewness of </w:t>
      </w:r>
      <w:r w:rsidR="008910E0" w:rsidRPr="00DD6CC9">
        <w:rPr>
          <w:b/>
          <w:bCs/>
          <w:i/>
          <w:iCs/>
          <w:sz w:val="28"/>
          <w:szCs w:val="28"/>
        </w:rPr>
        <w:t>-0.12</w:t>
      </w:r>
      <w:r w:rsidR="008910E0">
        <w:rPr>
          <w:sz w:val="28"/>
          <w:szCs w:val="28"/>
        </w:rPr>
        <w:t xml:space="preserve"> suggests that the</w:t>
      </w:r>
      <w:r w:rsidR="004457CC">
        <w:rPr>
          <w:sz w:val="28"/>
          <w:szCs w:val="28"/>
        </w:rPr>
        <w:t xml:space="preserve"> data is very slightly </w:t>
      </w:r>
      <w:r w:rsidR="00C522DF">
        <w:rPr>
          <w:sz w:val="28"/>
          <w:szCs w:val="28"/>
        </w:rPr>
        <w:t xml:space="preserve">left </w:t>
      </w:r>
      <w:r w:rsidR="004457CC">
        <w:rPr>
          <w:sz w:val="28"/>
          <w:szCs w:val="28"/>
        </w:rPr>
        <w:t>skewed</w:t>
      </w:r>
      <w:r w:rsidR="00072DBD">
        <w:rPr>
          <w:sz w:val="28"/>
          <w:szCs w:val="28"/>
        </w:rPr>
        <w:t>,</w:t>
      </w:r>
      <w:r w:rsidR="004457CC">
        <w:rPr>
          <w:sz w:val="28"/>
          <w:szCs w:val="28"/>
        </w:rPr>
        <w:t xml:space="preserve"> implying that </w:t>
      </w:r>
      <w:r w:rsidR="00970349">
        <w:rPr>
          <w:sz w:val="28"/>
          <w:szCs w:val="28"/>
        </w:rPr>
        <w:t xml:space="preserve">there are </w:t>
      </w:r>
      <w:r w:rsidR="00116F32">
        <w:rPr>
          <w:sz w:val="28"/>
          <w:szCs w:val="28"/>
        </w:rPr>
        <w:t>outliers present in the younger age groups.</w:t>
      </w:r>
      <w:r w:rsidR="00DD1FED">
        <w:rPr>
          <w:sz w:val="28"/>
          <w:szCs w:val="28"/>
        </w:rPr>
        <w:t xml:space="preserve"> </w:t>
      </w:r>
      <w:r w:rsidR="00DE4CEB">
        <w:rPr>
          <w:sz w:val="28"/>
          <w:szCs w:val="28"/>
        </w:rPr>
        <w:t xml:space="preserve">Our median </w:t>
      </w:r>
      <w:r w:rsidR="00DE4CEB" w:rsidRPr="00A77FC9">
        <w:rPr>
          <w:b/>
          <w:bCs/>
          <w:i/>
          <w:iCs/>
          <w:sz w:val="28"/>
          <w:szCs w:val="28"/>
        </w:rPr>
        <w:t>(58.25)</w:t>
      </w:r>
      <w:r w:rsidR="00DE4CEB">
        <w:rPr>
          <w:sz w:val="28"/>
          <w:szCs w:val="28"/>
        </w:rPr>
        <w:t xml:space="preserve"> being larger than our </w:t>
      </w:r>
      <w:r w:rsidR="00CE6B4F">
        <w:rPr>
          <w:sz w:val="28"/>
          <w:szCs w:val="28"/>
        </w:rPr>
        <w:t xml:space="preserve">mean </w:t>
      </w:r>
      <w:r w:rsidR="00CE6B4F" w:rsidRPr="00A77FC9">
        <w:rPr>
          <w:b/>
          <w:bCs/>
          <w:i/>
          <w:iCs/>
          <w:sz w:val="28"/>
          <w:szCs w:val="28"/>
        </w:rPr>
        <w:t>(56.84)</w:t>
      </w:r>
      <w:r w:rsidR="00CE6B4F">
        <w:rPr>
          <w:sz w:val="28"/>
          <w:szCs w:val="28"/>
        </w:rPr>
        <w:t xml:space="preserve"> </w:t>
      </w:r>
      <w:r w:rsidR="00157D9F">
        <w:rPr>
          <w:sz w:val="28"/>
          <w:szCs w:val="28"/>
        </w:rPr>
        <w:t xml:space="preserve">further </w:t>
      </w:r>
      <w:r w:rsidR="006C7813">
        <w:rPr>
          <w:sz w:val="28"/>
          <w:szCs w:val="28"/>
        </w:rPr>
        <w:t xml:space="preserve">provides </w:t>
      </w:r>
      <w:r w:rsidR="000227BB">
        <w:rPr>
          <w:sz w:val="28"/>
          <w:szCs w:val="28"/>
        </w:rPr>
        <w:t>evidence for this</w:t>
      </w:r>
      <w:r w:rsidR="00CE6B4F">
        <w:rPr>
          <w:sz w:val="28"/>
          <w:szCs w:val="28"/>
        </w:rPr>
        <w:t xml:space="preserve">. </w:t>
      </w:r>
      <w:r w:rsidR="005A0BDC">
        <w:rPr>
          <w:sz w:val="28"/>
          <w:szCs w:val="28"/>
        </w:rPr>
        <w:t xml:space="preserve">However, </w:t>
      </w:r>
      <w:r w:rsidR="002A45DD">
        <w:rPr>
          <w:sz w:val="28"/>
          <w:szCs w:val="28"/>
        </w:rPr>
        <w:t>when calculating</w:t>
      </w:r>
      <w:r w:rsidR="004F705F">
        <w:rPr>
          <w:sz w:val="28"/>
          <w:szCs w:val="28"/>
        </w:rPr>
        <w:t xml:space="preserve"> </w:t>
      </w:r>
      <w:r w:rsidR="00F84186">
        <w:rPr>
          <w:sz w:val="28"/>
          <w:szCs w:val="28"/>
        </w:rPr>
        <w:t xml:space="preserve">for </w:t>
      </w:r>
      <w:r w:rsidR="002A45DD">
        <w:rPr>
          <w:sz w:val="28"/>
          <w:szCs w:val="28"/>
        </w:rPr>
        <w:t xml:space="preserve">our lower </w:t>
      </w:r>
      <w:r w:rsidR="00B645F8">
        <w:rPr>
          <w:sz w:val="28"/>
          <w:szCs w:val="28"/>
        </w:rPr>
        <w:t xml:space="preserve">outlier </w:t>
      </w:r>
      <w:r w:rsidR="00E92C1A">
        <w:rPr>
          <w:sz w:val="28"/>
          <w:szCs w:val="28"/>
        </w:rPr>
        <w:t>fence,</w:t>
      </w:r>
      <w:r w:rsidR="004F705F">
        <w:rPr>
          <w:sz w:val="28"/>
          <w:szCs w:val="28"/>
        </w:rPr>
        <w:t xml:space="preserve"> </w:t>
      </w:r>
      <w:r w:rsidR="002A45DD">
        <w:rPr>
          <w:sz w:val="28"/>
          <w:szCs w:val="28"/>
        </w:rPr>
        <w:t xml:space="preserve">we get a value of </w:t>
      </w:r>
      <w:r w:rsidR="002A45DD" w:rsidRPr="00004806">
        <w:rPr>
          <w:b/>
          <w:bCs/>
          <w:i/>
          <w:iCs/>
          <w:sz w:val="28"/>
          <w:szCs w:val="28"/>
        </w:rPr>
        <w:t>16</w:t>
      </w:r>
      <w:r w:rsidR="002A45DD">
        <w:rPr>
          <w:sz w:val="28"/>
          <w:szCs w:val="28"/>
        </w:rPr>
        <w:t xml:space="preserve"> </w:t>
      </w:r>
      <w:r w:rsidR="00375E62">
        <w:rPr>
          <w:sz w:val="28"/>
          <w:szCs w:val="28"/>
        </w:rPr>
        <w:t xml:space="preserve">which is much lower than our minimum value of </w:t>
      </w:r>
      <w:r w:rsidR="00432852" w:rsidRPr="00A77FC9">
        <w:rPr>
          <w:b/>
          <w:bCs/>
          <w:i/>
          <w:iCs/>
          <w:sz w:val="28"/>
          <w:szCs w:val="28"/>
        </w:rPr>
        <w:t>21.29</w:t>
      </w:r>
      <w:r w:rsidR="002A45DD">
        <w:rPr>
          <w:sz w:val="28"/>
          <w:szCs w:val="28"/>
        </w:rPr>
        <w:t>.</w:t>
      </w:r>
      <w:r w:rsidR="00432852">
        <w:rPr>
          <w:sz w:val="28"/>
          <w:szCs w:val="28"/>
        </w:rPr>
        <w:t xml:space="preserve"> </w:t>
      </w:r>
      <w:r w:rsidR="005411AC">
        <w:rPr>
          <w:sz w:val="28"/>
          <w:szCs w:val="28"/>
        </w:rPr>
        <w:t xml:space="preserve">This implies that there are no true outliers and </w:t>
      </w:r>
      <w:r w:rsidR="00957281">
        <w:rPr>
          <w:sz w:val="28"/>
          <w:szCs w:val="28"/>
        </w:rPr>
        <w:t xml:space="preserve">that our data is </w:t>
      </w:r>
      <w:r w:rsidR="003A657A">
        <w:rPr>
          <w:sz w:val="28"/>
          <w:szCs w:val="28"/>
        </w:rPr>
        <w:t xml:space="preserve">roughly </w:t>
      </w:r>
      <w:r w:rsidR="00957281">
        <w:rPr>
          <w:sz w:val="28"/>
          <w:szCs w:val="28"/>
        </w:rPr>
        <w:t xml:space="preserve">symmetrical </w:t>
      </w:r>
      <w:r w:rsidR="00016C92">
        <w:rPr>
          <w:sz w:val="28"/>
          <w:szCs w:val="28"/>
        </w:rPr>
        <w:t xml:space="preserve">but with a </w:t>
      </w:r>
      <w:r w:rsidR="00135B16">
        <w:rPr>
          <w:sz w:val="28"/>
          <w:szCs w:val="28"/>
        </w:rPr>
        <w:t xml:space="preserve">slightly </w:t>
      </w:r>
      <w:r w:rsidR="00016C92">
        <w:rPr>
          <w:sz w:val="28"/>
          <w:szCs w:val="28"/>
        </w:rPr>
        <w:t xml:space="preserve">higher concentration of applicants in the </w:t>
      </w:r>
      <w:r w:rsidR="00135B16">
        <w:rPr>
          <w:sz w:val="28"/>
          <w:szCs w:val="28"/>
        </w:rPr>
        <w:t>older age ranges</w:t>
      </w:r>
      <w:r w:rsidR="00930324">
        <w:rPr>
          <w:sz w:val="28"/>
          <w:szCs w:val="28"/>
        </w:rPr>
        <w:t xml:space="preserve">. </w:t>
      </w:r>
    </w:p>
    <w:p w14:paraId="34EC012D" w14:textId="77777777" w:rsidR="00586645" w:rsidRDefault="00586645" w:rsidP="00586645">
      <w:pPr>
        <w:jc w:val="center"/>
        <w:rPr>
          <w:sz w:val="28"/>
          <w:szCs w:val="28"/>
        </w:rPr>
      </w:pPr>
      <w:r>
        <w:rPr>
          <w:noProof/>
        </w:rPr>
        <mc:AlternateContent>
          <mc:Choice Requires="cx1">
            <w:drawing>
              <wp:inline distT="0" distB="0" distL="0" distR="0" wp14:anchorId="4585507C" wp14:editId="266D6E2E">
                <wp:extent cx="4572000" cy="2743200"/>
                <wp:effectExtent l="0" t="0" r="0" b="0"/>
                <wp:docPr id="4" name="Chart 4">
                  <a:extLst xmlns:a="http://schemas.openxmlformats.org/drawingml/2006/main">
                    <a:ext uri="{FF2B5EF4-FFF2-40B4-BE49-F238E27FC236}">
                      <a16:creationId xmlns:a16="http://schemas.microsoft.com/office/drawing/2014/main" id="{49F45692-69D2-4915-A4C0-C66E11CF278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
                  </a:graphicData>
                </a:graphic>
              </wp:inline>
            </w:drawing>
          </mc:Choice>
          <mc:Fallback>
            <w:drawing>
              <wp:inline distT="0" distB="0" distL="0" distR="0" wp14:anchorId="4585507C" wp14:editId="266D6E2E">
                <wp:extent cx="4572000" cy="2743200"/>
                <wp:effectExtent l="0" t="0" r="0" b="0"/>
                <wp:docPr id="4" name="Chart 4">
                  <a:extLst xmlns:a="http://schemas.openxmlformats.org/drawingml/2006/main">
                    <a:ext uri="{FF2B5EF4-FFF2-40B4-BE49-F238E27FC236}">
                      <a16:creationId xmlns:a16="http://schemas.microsoft.com/office/drawing/2014/main" id="{49F45692-69D2-4915-A4C0-C66E11CF278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49F45692-69D2-4915-A4C0-C66E11CF2780}"/>
                            </a:ext>
                          </a:extLst>
                        </pic:cNvPr>
                        <pic:cNvPicPr>
                          <a:picLocks noGrp="1" noRot="1" noChangeAspect="1" noMove="1" noResize="1" noEditPoints="1" noAdjustHandles="1" noChangeArrowheads="1" noChangeShapeType="1"/>
                        </pic:cNvPicPr>
                      </pic:nvPicPr>
                      <pic:blipFill>
                        <a:blip r:embed="rId5"/>
                        <a:stretch>
                          <a:fillRect/>
                        </a:stretch>
                      </pic:blipFill>
                      <pic:spPr>
                        <a:xfrm>
                          <a:off x="0" y="0"/>
                          <a:ext cx="4572000" cy="2743200"/>
                        </a:xfrm>
                        <a:prstGeom prst="rect">
                          <a:avLst/>
                        </a:prstGeom>
                      </pic:spPr>
                    </pic:pic>
                  </a:graphicData>
                </a:graphic>
              </wp:inline>
            </w:drawing>
          </mc:Fallback>
        </mc:AlternateContent>
      </w:r>
    </w:p>
    <w:p w14:paraId="25960C75" w14:textId="7B85F23A" w:rsidR="00465FDB" w:rsidRPr="005B0AC0" w:rsidRDefault="00B97B6A" w:rsidP="006720FB">
      <w:pPr>
        <w:rPr>
          <w:b/>
          <w:bCs/>
          <w:i/>
          <w:iCs/>
          <w:sz w:val="28"/>
          <w:szCs w:val="28"/>
        </w:rPr>
      </w:pPr>
      <w:r>
        <w:rPr>
          <w:sz w:val="28"/>
          <w:szCs w:val="28"/>
        </w:rPr>
        <w:t xml:space="preserve">The average age of </w:t>
      </w:r>
      <w:r w:rsidR="009545E8">
        <w:rPr>
          <w:sz w:val="28"/>
          <w:szCs w:val="28"/>
        </w:rPr>
        <w:t xml:space="preserve">our </w:t>
      </w:r>
      <w:r w:rsidR="00155303">
        <w:rPr>
          <w:sz w:val="28"/>
          <w:szCs w:val="28"/>
        </w:rPr>
        <w:t>applicants</w:t>
      </w:r>
      <w:r w:rsidR="00C61338">
        <w:rPr>
          <w:sz w:val="28"/>
          <w:szCs w:val="28"/>
        </w:rPr>
        <w:t xml:space="preserve"> is </w:t>
      </w:r>
      <w:r w:rsidR="002D48D7" w:rsidRPr="002105F5">
        <w:rPr>
          <w:b/>
          <w:bCs/>
          <w:i/>
          <w:iCs/>
          <w:sz w:val="28"/>
          <w:szCs w:val="28"/>
        </w:rPr>
        <w:t>56.84</w:t>
      </w:r>
      <w:r w:rsidR="00D32847">
        <w:rPr>
          <w:sz w:val="28"/>
          <w:szCs w:val="28"/>
        </w:rPr>
        <w:t xml:space="preserve"> with a </w:t>
      </w:r>
      <w:r w:rsidR="001B4A1C">
        <w:rPr>
          <w:sz w:val="28"/>
          <w:szCs w:val="28"/>
        </w:rPr>
        <w:t>standard deviation of</w:t>
      </w:r>
      <w:r w:rsidR="00EA78D2">
        <w:rPr>
          <w:sz w:val="28"/>
          <w:szCs w:val="28"/>
        </w:rPr>
        <w:t xml:space="preserve"> </w:t>
      </w:r>
      <w:r w:rsidR="00EA78D2" w:rsidRPr="002105F5">
        <w:rPr>
          <w:b/>
          <w:bCs/>
          <w:i/>
          <w:iCs/>
          <w:sz w:val="28"/>
          <w:szCs w:val="28"/>
        </w:rPr>
        <w:t>14.84</w:t>
      </w:r>
      <w:r w:rsidR="00EA78D2">
        <w:rPr>
          <w:sz w:val="28"/>
          <w:szCs w:val="28"/>
        </w:rPr>
        <w:t xml:space="preserve">. This means that </w:t>
      </w:r>
      <w:r w:rsidR="00F96AE9">
        <w:rPr>
          <w:sz w:val="28"/>
          <w:szCs w:val="28"/>
        </w:rPr>
        <w:t xml:space="preserve">on average the data </w:t>
      </w:r>
      <w:r w:rsidR="000B4F88">
        <w:rPr>
          <w:sz w:val="28"/>
          <w:szCs w:val="28"/>
        </w:rPr>
        <w:t>falls</w:t>
      </w:r>
      <w:r w:rsidR="00F669A6">
        <w:rPr>
          <w:sz w:val="28"/>
          <w:szCs w:val="28"/>
        </w:rPr>
        <w:t xml:space="preserve"> within</w:t>
      </w:r>
      <w:r w:rsidR="004A5F37">
        <w:rPr>
          <w:sz w:val="28"/>
          <w:szCs w:val="28"/>
        </w:rPr>
        <w:t xml:space="preserve"> </w:t>
      </w:r>
      <w:r w:rsidR="00630486">
        <w:rPr>
          <w:sz w:val="28"/>
          <w:szCs w:val="28"/>
        </w:rPr>
        <w:t xml:space="preserve">about </w:t>
      </w:r>
      <w:r w:rsidR="00630486" w:rsidRPr="002105F5">
        <w:rPr>
          <w:b/>
          <w:bCs/>
          <w:i/>
          <w:iCs/>
          <w:sz w:val="28"/>
          <w:szCs w:val="28"/>
        </w:rPr>
        <w:t>15</w:t>
      </w:r>
      <w:r w:rsidR="004A5F37">
        <w:rPr>
          <w:sz w:val="28"/>
          <w:szCs w:val="28"/>
        </w:rPr>
        <w:t xml:space="preserve"> years </w:t>
      </w:r>
      <w:r w:rsidR="00D96A4D">
        <w:rPr>
          <w:sz w:val="28"/>
          <w:szCs w:val="28"/>
        </w:rPr>
        <w:t xml:space="preserve">above or below </w:t>
      </w:r>
      <w:r w:rsidR="004A5F37">
        <w:rPr>
          <w:sz w:val="28"/>
          <w:szCs w:val="28"/>
        </w:rPr>
        <w:t xml:space="preserve">the mean. </w:t>
      </w:r>
      <w:r w:rsidR="00412D16">
        <w:rPr>
          <w:sz w:val="28"/>
          <w:szCs w:val="28"/>
        </w:rPr>
        <w:t>When calculat</w:t>
      </w:r>
      <w:r w:rsidR="00546D21">
        <w:rPr>
          <w:sz w:val="28"/>
          <w:szCs w:val="28"/>
        </w:rPr>
        <w:t>ing</w:t>
      </w:r>
      <w:r w:rsidR="00412D16">
        <w:rPr>
          <w:sz w:val="28"/>
          <w:szCs w:val="28"/>
        </w:rPr>
        <w:t xml:space="preserve"> </w:t>
      </w:r>
      <w:r w:rsidR="00CB3456">
        <w:rPr>
          <w:sz w:val="28"/>
          <w:szCs w:val="28"/>
        </w:rPr>
        <w:t>a</w:t>
      </w:r>
      <w:r w:rsidR="00C450ED">
        <w:rPr>
          <w:sz w:val="28"/>
          <w:szCs w:val="28"/>
        </w:rPr>
        <w:t xml:space="preserve"> </w:t>
      </w:r>
      <w:r w:rsidR="00C450ED" w:rsidRPr="00731550">
        <w:rPr>
          <w:b/>
          <w:bCs/>
          <w:i/>
          <w:iCs/>
          <w:sz w:val="28"/>
          <w:szCs w:val="28"/>
        </w:rPr>
        <w:t xml:space="preserve">95% confidence </w:t>
      </w:r>
      <w:r w:rsidR="00FC1D67" w:rsidRPr="00731550">
        <w:rPr>
          <w:b/>
          <w:bCs/>
          <w:i/>
          <w:iCs/>
          <w:sz w:val="28"/>
          <w:szCs w:val="28"/>
        </w:rPr>
        <w:t>interval</w:t>
      </w:r>
      <w:r w:rsidR="00CB3456">
        <w:rPr>
          <w:sz w:val="28"/>
          <w:szCs w:val="28"/>
        </w:rPr>
        <w:t xml:space="preserve"> for the mean</w:t>
      </w:r>
      <w:r w:rsidR="00FC1D67">
        <w:rPr>
          <w:sz w:val="28"/>
          <w:szCs w:val="28"/>
        </w:rPr>
        <w:t>,</w:t>
      </w:r>
      <w:r w:rsidR="00C450ED">
        <w:rPr>
          <w:sz w:val="28"/>
          <w:szCs w:val="28"/>
        </w:rPr>
        <w:t xml:space="preserve"> we </w:t>
      </w:r>
      <w:r w:rsidR="00412D16">
        <w:rPr>
          <w:sz w:val="28"/>
          <w:szCs w:val="28"/>
        </w:rPr>
        <w:t>get</w:t>
      </w:r>
      <w:r w:rsidR="00FA0467">
        <w:rPr>
          <w:sz w:val="28"/>
          <w:szCs w:val="28"/>
        </w:rPr>
        <w:t xml:space="preserve"> an interval</w:t>
      </w:r>
      <w:r w:rsidR="00045B24">
        <w:rPr>
          <w:sz w:val="28"/>
          <w:szCs w:val="28"/>
        </w:rPr>
        <w:t xml:space="preserve"> of </w:t>
      </w:r>
      <w:r w:rsidR="00C61338" w:rsidRPr="00E92A21">
        <w:rPr>
          <w:b/>
          <w:bCs/>
          <w:i/>
          <w:iCs/>
          <w:sz w:val="28"/>
          <w:szCs w:val="28"/>
        </w:rPr>
        <w:t xml:space="preserve">53 </w:t>
      </w:r>
      <w:r w:rsidR="00EE74DC" w:rsidRPr="00E92A21">
        <w:rPr>
          <w:b/>
          <w:bCs/>
          <w:i/>
          <w:iCs/>
          <w:sz w:val="28"/>
          <w:szCs w:val="28"/>
        </w:rPr>
        <w:t>to</w:t>
      </w:r>
      <w:r w:rsidR="00C61338" w:rsidRPr="00E92A21">
        <w:rPr>
          <w:b/>
          <w:bCs/>
          <w:i/>
          <w:iCs/>
          <w:sz w:val="28"/>
          <w:szCs w:val="28"/>
        </w:rPr>
        <w:t xml:space="preserve"> 61</w:t>
      </w:r>
      <w:r w:rsidR="00C61338">
        <w:rPr>
          <w:sz w:val="28"/>
          <w:szCs w:val="28"/>
        </w:rPr>
        <w:t xml:space="preserve"> years of age. </w:t>
      </w:r>
      <w:r w:rsidR="00210E60">
        <w:rPr>
          <w:sz w:val="28"/>
          <w:szCs w:val="28"/>
        </w:rPr>
        <w:t>Meaning that w</w:t>
      </w:r>
      <w:r w:rsidR="00993FA0">
        <w:rPr>
          <w:sz w:val="28"/>
          <w:szCs w:val="28"/>
        </w:rPr>
        <w:t xml:space="preserve">e can </w:t>
      </w:r>
      <w:r w:rsidR="00187B50">
        <w:rPr>
          <w:sz w:val="28"/>
          <w:szCs w:val="28"/>
        </w:rPr>
        <w:t>be 95% sure that our population parameter</w:t>
      </w:r>
      <w:r w:rsidR="005017FB">
        <w:rPr>
          <w:sz w:val="28"/>
          <w:szCs w:val="28"/>
        </w:rPr>
        <w:t xml:space="preserve"> (</w:t>
      </w:r>
      <w:r w:rsidR="005017FB">
        <w:rPr>
          <w:rFonts w:cstheme="minorHAnsi"/>
          <w:sz w:val="28"/>
          <w:szCs w:val="28"/>
        </w:rPr>
        <w:t>µ</w:t>
      </w:r>
      <w:r w:rsidR="005017FB">
        <w:rPr>
          <w:sz w:val="28"/>
          <w:szCs w:val="28"/>
        </w:rPr>
        <w:t>)</w:t>
      </w:r>
      <w:r w:rsidR="00187B50">
        <w:rPr>
          <w:sz w:val="28"/>
          <w:szCs w:val="28"/>
        </w:rPr>
        <w:t xml:space="preserve"> falls </w:t>
      </w:r>
      <w:r w:rsidR="00930324">
        <w:rPr>
          <w:sz w:val="28"/>
          <w:szCs w:val="28"/>
        </w:rPr>
        <w:t>within</w:t>
      </w:r>
      <w:r w:rsidR="00187B50">
        <w:rPr>
          <w:sz w:val="28"/>
          <w:szCs w:val="28"/>
        </w:rPr>
        <w:t xml:space="preserve"> this interval.</w:t>
      </w:r>
      <w:r w:rsidR="00FE4C1F">
        <w:rPr>
          <w:sz w:val="28"/>
          <w:szCs w:val="28"/>
        </w:rPr>
        <w:t xml:space="preserve"> </w:t>
      </w:r>
      <w:r w:rsidR="0071535E">
        <w:rPr>
          <w:sz w:val="28"/>
          <w:szCs w:val="28"/>
        </w:rPr>
        <w:t xml:space="preserve">When compared to the average national retirement age of </w:t>
      </w:r>
      <w:r w:rsidR="0071535E" w:rsidRPr="00F32291">
        <w:rPr>
          <w:sz w:val="28"/>
          <w:szCs w:val="28"/>
        </w:rPr>
        <w:t>63</w:t>
      </w:r>
      <w:r w:rsidR="005C7A17">
        <w:rPr>
          <w:sz w:val="28"/>
          <w:szCs w:val="28"/>
        </w:rPr>
        <w:t>, th</w:t>
      </w:r>
      <w:r w:rsidR="002918D1">
        <w:rPr>
          <w:sz w:val="28"/>
          <w:szCs w:val="28"/>
        </w:rPr>
        <w:t>ese</w:t>
      </w:r>
      <w:r w:rsidR="005C7A17">
        <w:rPr>
          <w:sz w:val="28"/>
          <w:szCs w:val="28"/>
        </w:rPr>
        <w:t xml:space="preserve"> number</w:t>
      </w:r>
      <w:r w:rsidR="002918D1">
        <w:rPr>
          <w:sz w:val="28"/>
          <w:szCs w:val="28"/>
        </w:rPr>
        <w:t>s</w:t>
      </w:r>
      <w:r w:rsidR="005C7A17">
        <w:rPr>
          <w:sz w:val="28"/>
          <w:szCs w:val="28"/>
        </w:rPr>
        <w:t xml:space="preserve"> </w:t>
      </w:r>
      <w:r w:rsidR="002918D1">
        <w:rPr>
          <w:sz w:val="28"/>
          <w:szCs w:val="28"/>
        </w:rPr>
        <w:t>are</w:t>
      </w:r>
      <w:r w:rsidR="005C7A17">
        <w:rPr>
          <w:sz w:val="28"/>
          <w:szCs w:val="28"/>
        </w:rPr>
        <w:t xml:space="preserve"> ast</w:t>
      </w:r>
      <w:r w:rsidR="007E6677">
        <w:rPr>
          <w:sz w:val="28"/>
          <w:szCs w:val="28"/>
        </w:rPr>
        <w:t>onishingly high.</w:t>
      </w:r>
      <w:r w:rsidR="00465FDB">
        <w:rPr>
          <w:sz w:val="28"/>
          <w:szCs w:val="28"/>
        </w:rPr>
        <w:t xml:space="preserve"> </w:t>
      </w:r>
      <w:r w:rsidR="002918D1">
        <w:rPr>
          <w:sz w:val="28"/>
          <w:szCs w:val="28"/>
        </w:rPr>
        <w:t xml:space="preserve">It appears that customers who are closer to retirement age are the ones applying more </w:t>
      </w:r>
      <w:r w:rsidR="002918D1">
        <w:rPr>
          <w:sz w:val="28"/>
          <w:szCs w:val="28"/>
        </w:rPr>
        <w:lastRenderedPageBreak/>
        <w:t xml:space="preserve">often than </w:t>
      </w:r>
      <w:r w:rsidR="003450D2">
        <w:rPr>
          <w:sz w:val="28"/>
          <w:szCs w:val="28"/>
        </w:rPr>
        <w:t>those in their teens, twenties</w:t>
      </w:r>
      <w:r w:rsidR="00255F07">
        <w:rPr>
          <w:sz w:val="28"/>
          <w:szCs w:val="28"/>
        </w:rPr>
        <w:t>, thirties</w:t>
      </w:r>
      <w:r w:rsidR="00A23C5F">
        <w:rPr>
          <w:sz w:val="28"/>
          <w:szCs w:val="28"/>
        </w:rPr>
        <w:t>, and forties</w:t>
      </w:r>
      <w:r w:rsidR="00B5492D">
        <w:rPr>
          <w:sz w:val="28"/>
          <w:szCs w:val="28"/>
        </w:rPr>
        <w:t xml:space="preserve">. </w:t>
      </w:r>
      <w:r w:rsidR="004100A3">
        <w:rPr>
          <w:sz w:val="28"/>
          <w:szCs w:val="28"/>
        </w:rPr>
        <w:t xml:space="preserve">This </w:t>
      </w:r>
      <w:r w:rsidR="004741CB">
        <w:rPr>
          <w:sz w:val="28"/>
          <w:szCs w:val="28"/>
        </w:rPr>
        <w:t xml:space="preserve">is </w:t>
      </w:r>
      <w:r w:rsidR="004100A3">
        <w:rPr>
          <w:sz w:val="28"/>
          <w:szCs w:val="28"/>
        </w:rPr>
        <w:t xml:space="preserve">made </w:t>
      </w:r>
      <w:r w:rsidR="00B5492D">
        <w:rPr>
          <w:sz w:val="28"/>
          <w:szCs w:val="28"/>
        </w:rPr>
        <w:t>even more</w:t>
      </w:r>
      <w:r w:rsidR="004100A3">
        <w:rPr>
          <w:sz w:val="28"/>
          <w:szCs w:val="28"/>
        </w:rPr>
        <w:t xml:space="preserve"> apparent when looking at the age group breakdown as shown in the graph below. </w:t>
      </w:r>
      <w:r w:rsidR="00BE53FE" w:rsidRPr="00CF2B30">
        <w:rPr>
          <w:b/>
          <w:bCs/>
          <w:i/>
          <w:iCs/>
          <w:sz w:val="28"/>
          <w:szCs w:val="28"/>
        </w:rPr>
        <w:t>60%</w:t>
      </w:r>
      <w:r w:rsidR="00BE53FE">
        <w:rPr>
          <w:sz w:val="28"/>
          <w:szCs w:val="28"/>
        </w:rPr>
        <w:t xml:space="preserve"> of credit card </w:t>
      </w:r>
      <w:r w:rsidR="0085274B">
        <w:rPr>
          <w:sz w:val="28"/>
          <w:szCs w:val="28"/>
        </w:rPr>
        <w:t xml:space="preserve">sales came from people aged </w:t>
      </w:r>
      <w:r w:rsidR="0085274B" w:rsidRPr="00697202">
        <w:rPr>
          <w:sz w:val="28"/>
          <w:szCs w:val="28"/>
        </w:rPr>
        <w:t>55</w:t>
      </w:r>
      <w:r w:rsidR="0085274B">
        <w:rPr>
          <w:sz w:val="28"/>
          <w:szCs w:val="28"/>
        </w:rPr>
        <w:t xml:space="preserve"> and older</w:t>
      </w:r>
      <w:r w:rsidR="00B62F00">
        <w:rPr>
          <w:sz w:val="28"/>
          <w:szCs w:val="28"/>
        </w:rPr>
        <w:t xml:space="preserve"> compared to a measly </w:t>
      </w:r>
      <w:r w:rsidR="00B62F00" w:rsidRPr="00031FC8">
        <w:rPr>
          <w:b/>
          <w:bCs/>
          <w:i/>
          <w:iCs/>
          <w:sz w:val="28"/>
          <w:szCs w:val="28"/>
        </w:rPr>
        <w:t>8%</w:t>
      </w:r>
      <w:r w:rsidR="00B62F00">
        <w:rPr>
          <w:sz w:val="28"/>
          <w:szCs w:val="28"/>
        </w:rPr>
        <w:t xml:space="preserve"> from </w:t>
      </w:r>
      <w:r w:rsidR="00E72493">
        <w:rPr>
          <w:sz w:val="28"/>
          <w:szCs w:val="28"/>
        </w:rPr>
        <w:t xml:space="preserve">the </w:t>
      </w:r>
      <w:r w:rsidR="00E72493" w:rsidRPr="00697202">
        <w:rPr>
          <w:sz w:val="28"/>
          <w:szCs w:val="28"/>
        </w:rPr>
        <w:t>18 to 34</w:t>
      </w:r>
      <w:r w:rsidR="00E72493">
        <w:rPr>
          <w:sz w:val="28"/>
          <w:szCs w:val="28"/>
        </w:rPr>
        <w:t xml:space="preserve"> age groups. </w:t>
      </w:r>
      <w:r w:rsidR="00FA24E5">
        <w:rPr>
          <w:sz w:val="28"/>
          <w:szCs w:val="28"/>
        </w:rPr>
        <w:t xml:space="preserve">Even more surprising is the </w:t>
      </w:r>
      <w:r w:rsidR="00FA24E5" w:rsidRPr="00697202">
        <w:rPr>
          <w:b/>
          <w:bCs/>
          <w:i/>
          <w:iCs/>
          <w:sz w:val="28"/>
          <w:szCs w:val="28"/>
        </w:rPr>
        <w:t>31%</w:t>
      </w:r>
      <w:r w:rsidR="00FA24E5">
        <w:rPr>
          <w:sz w:val="28"/>
          <w:szCs w:val="28"/>
        </w:rPr>
        <w:t xml:space="preserve"> coming from customers aged </w:t>
      </w:r>
      <w:r w:rsidR="00255ECF" w:rsidRPr="00697202">
        <w:rPr>
          <w:sz w:val="28"/>
          <w:szCs w:val="28"/>
        </w:rPr>
        <w:t xml:space="preserve">65 </w:t>
      </w:r>
      <w:r w:rsidR="00255ECF">
        <w:rPr>
          <w:sz w:val="28"/>
          <w:szCs w:val="28"/>
        </w:rPr>
        <w:t xml:space="preserve">and older, a count that includes </w:t>
      </w:r>
      <w:r w:rsidR="001E5FCA" w:rsidRPr="00FA0726">
        <w:rPr>
          <w:b/>
          <w:bCs/>
          <w:i/>
          <w:iCs/>
          <w:sz w:val="28"/>
          <w:szCs w:val="28"/>
        </w:rPr>
        <w:t>five</w:t>
      </w:r>
      <w:r w:rsidR="00255ECF">
        <w:rPr>
          <w:sz w:val="28"/>
          <w:szCs w:val="28"/>
        </w:rPr>
        <w:t xml:space="preserve"> </w:t>
      </w:r>
      <w:r w:rsidR="00255ECF" w:rsidRPr="005B0AC0">
        <w:rPr>
          <w:b/>
          <w:bCs/>
          <w:i/>
          <w:iCs/>
          <w:sz w:val="28"/>
          <w:szCs w:val="28"/>
        </w:rPr>
        <w:t>80</w:t>
      </w:r>
      <w:r w:rsidR="001E5FCA" w:rsidRPr="005B0AC0">
        <w:rPr>
          <w:b/>
          <w:bCs/>
          <w:i/>
          <w:iCs/>
          <w:sz w:val="28"/>
          <w:szCs w:val="28"/>
        </w:rPr>
        <w:t xml:space="preserve">+ year </w:t>
      </w:r>
      <w:r w:rsidR="00F756D2" w:rsidRPr="005B0AC0">
        <w:rPr>
          <w:b/>
          <w:bCs/>
          <w:i/>
          <w:iCs/>
          <w:sz w:val="28"/>
          <w:szCs w:val="28"/>
        </w:rPr>
        <w:t>olds.</w:t>
      </w:r>
    </w:p>
    <w:p w14:paraId="01069AF3" w14:textId="49B926E0" w:rsidR="009E5C03" w:rsidRDefault="00CB7E19" w:rsidP="00C81A04">
      <w:pPr>
        <w:jc w:val="center"/>
        <w:rPr>
          <w:sz w:val="28"/>
          <w:szCs w:val="28"/>
        </w:rPr>
      </w:pPr>
      <w:r>
        <w:rPr>
          <w:noProof/>
        </w:rPr>
        <w:drawing>
          <wp:inline distT="0" distB="0" distL="0" distR="0" wp14:anchorId="5F152DD3" wp14:editId="009B12BD">
            <wp:extent cx="4572000" cy="2743200"/>
            <wp:effectExtent l="0" t="0" r="0" b="0"/>
            <wp:docPr id="1" name="Chart 1">
              <a:extLst xmlns:a="http://schemas.openxmlformats.org/drawingml/2006/main">
                <a:ext uri="{FF2B5EF4-FFF2-40B4-BE49-F238E27FC236}">
                  <a16:creationId xmlns:a16="http://schemas.microsoft.com/office/drawing/2014/main" id="{C6C7CD64-28D3-4C2B-A7FA-AD34BE558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C953C88" w14:textId="6CD9EDB5" w:rsidR="00FA4B91" w:rsidRDefault="00B619B2" w:rsidP="008049C4">
      <w:pPr>
        <w:rPr>
          <w:sz w:val="28"/>
          <w:szCs w:val="28"/>
        </w:rPr>
      </w:pPr>
      <w:r>
        <w:rPr>
          <w:sz w:val="28"/>
          <w:szCs w:val="28"/>
        </w:rPr>
        <w:t xml:space="preserve">Let’s now test one of our assumptions. Our assumption is that </w:t>
      </w:r>
      <w:r w:rsidR="00317A61">
        <w:rPr>
          <w:sz w:val="28"/>
          <w:szCs w:val="28"/>
        </w:rPr>
        <w:t xml:space="preserve">on average, </w:t>
      </w:r>
      <w:r w:rsidR="00177F89">
        <w:rPr>
          <w:sz w:val="28"/>
          <w:szCs w:val="28"/>
        </w:rPr>
        <w:t>older customers do not</w:t>
      </w:r>
      <w:r w:rsidR="006F43EB">
        <w:rPr>
          <w:sz w:val="28"/>
          <w:szCs w:val="28"/>
        </w:rPr>
        <w:t xml:space="preserve"> apply for</w:t>
      </w:r>
      <w:r w:rsidR="00177F89">
        <w:rPr>
          <w:sz w:val="28"/>
          <w:szCs w:val="28"/>
        </w:rPr>
        <w:t xml:space="preserve"> credit card</w:t>
      </w:r>
      <w:r w:rsidR="004E7689">
        <w:rPr>
          <w:sz w:val="28"/>
          <w:szCs w:val="28"/>
        </w:rPr>
        <w:t>s</w:t>
      </w:r>
      <w:r w:rsidR="00177F89">
        <w:rPr>
          <w:sz w:val="28"/>
          <w:szCs w:val="28"/>
        </w:rPr>
        <w:t xml:space="preserve">. </w:t>
      </w:r>
      <w:r w:rsidR="000F4E4C">
        <w:rPr>
          <w:sz w:val="28"/>
          <w:szCs w:val="28"/>
        </w:rPr>
        <w:t xml:space="preserve">We’ll set </w:t>
      </w:r>
      <w:r w:rsidR="006C354F">
        <w:rPr>
          <w:sz w:val="28"/>
          <w:szCs w:val="28"/>
        </w:rPr>
        <w:t xml:space="preserve">the </w:t>
      </w:r>
      <w:r w:rsidR="004958C3">
        <w:rPr>
          <w:sz w:val="28"/>
          <w:szCs w:val="28"/>
        </w:rPr>
        <w:t>cut off for</w:t>
      </w:r>
      <w:r w:rsidR="006213B0">
        <w:rPr>
          <w:sz w:val="28"/>
          <w:szCs w:val="28"/>
        </w:rPr>
        <w:t xml:space="preserve"> an</w:t>
      </w:r>
      <w:r w:rsidR="000F4E4C">
        <w:rPr>
          <w:sz w:val="28"/>
          <w:szCs w:val="28"/>
        </w:rPr>
        <w:t xml:space="preserve"> </w:t>
      </w:r>
      <w:r w:rsidR="007774A2">
        <w:rPr>
          <w:sz w:val="28"/>
          <w:szCs w:val="28"/>
        </w:rPr>
        <w:t xml:space="preserve">“older” </w:t>
      </w:r>
      <w:r w:rsidR="00F43CA1">
        <w:rPr>
          <w:sz w:val="28"/>
          <w:szCs w:val="28"/>
        </w:rPr>
        <w:t>customer</w:t>
      </w:r>
      <w:r w:rsidR="007774A2">
        <w:rPr>
          <w:sz w:val="28"/>
          <w:szCs w:val="28"/>
        </w:rPr>
        <w:t xml:space="preserve"> </w:t>
      </w:r>
      <w:r w:rsidR="009D5532">
        <w:rPr>
          <w:sz w:val="28"/>
          <w:szCs w:val="28"/>
        </w:rPr>
        <w:t>equal to the national retirement age</w:t>
      </w:r>
      <w:r w:rsidR="007774A2">
        <w:rPr>
          <w:sz w:val="28"/>
          <w:szCs w:val="28"/>
        </w:rPr>
        <w:t>. This gives us the following hypotheses:</w:t>
      </w:r>
    </w:p>
    <w:p w14:paraId="407A39EC" w14:textId="247ABA70" w:rsidR="007774A2" w:rsidRPr="002C3270" w:rsidRDefault="00F64FDB" w:rsidP="007774A2">
      <w:pPr>
        <w:jc w:val="center"/>
        <w:rPr>
          <w:sz w:val="28"/>
          <w:szCs w:val="28"/>
        </w:rPr>
      </w:pPr>
      <w:r w:rsidRPr="002C3270">
        <w:rPr>
          <w:sz w:val="28"/>
          <w:szCs w:val="28"/>
        </w:rPr>
        <w:t>H</w:t>
      </w:r>
      <w:r w:rsidRPr="002C3270">
        <w:rPr>
          <w:sz w:val="28"/>
          <w:szCs w:val="28"/>
          <w:vertAlign w:val="subscript"/>
        </w:rPr>
        <w:t>0</w:t>
      </w:r>
      <w:r w:rsidRPr="002C3270">
        <w:rPr>
          <w:sz w:val="28"/>
          <w:szCs w:val="28"/>
        </w:rPr>
        <w:t xml:space="preserve">: </w:t>
      </w:r>
      <w:r w:rsidRPr="002C3270">
        <w:rPr>
          <w:rFonts w:cstheme="minorHAnsi"/>
          <w:sz w:val="28"/>
          <w:szCs w:val="28"/>
        </w:rPr>
        <w:t>µ</w:t>
      </w:r>
      <w:r w:rsidRPr="002C3270">
        <w:rPr>
          <w:sz w:val="28"/>
          <w:szCs w:val="28"/>
        </w:rPr>
        <w:t xml:space="preserve"> </w:t>
      </w:r>
      <w:r w:rsidR="0092504B" w:rsidRPr="002C3270">
        <w:rPr>
          <w:rFonts w:cstheme="minorHAnsi"/>
          <w:sz w:val="28"/>
          <w:szCs w:val="28"/>
        </w:rPr>
        <w:t xml:space="preserve">≤ </w:t>
      </w:r>
      <w:r w:rsidRPr="002C3270">
        <w:rPr>
          <w:sz w:val="28"/>
          <w:szCs w:val="28"/>
        </w:rPr>
        <w:t>63</w:t>
      </w:r>
    </w:p>
    <w:p w14:paraId="7DF2EE30" w14:textId="7FED1005" w:rsidR="00F64FDB" w:rsidRPr="002C3270" w:rsidRDefault="00F64FDB" w:rsidP="007774A2">
      <w:pPr>
        <w:jc w:val="center"/>
        <w:rPr>
          <w:sz w:val="28"/>
          <w:szCs w:val="28"/>
        </w:rPr>
      </w:pPr>
      <w:r w:rsidRPr="002C3270">
        <w:rPr>
          <w:sz w:val="28"/>
          <w:szCs w:val="28"/>
        </w:rPr>
        <w:t>H</w:t>
      </w:r>
      <w:r w:rsidRPr="002C3270">
        <w:rPr>
          <w:sz w:val="28"/>
          <w:szCs w:val="28"/>
          <w:vertAlign w:val="subscript"/>
        </w:rPr>
        <w:t>a</w:t>
      </w:r>
      <w:r w:rsidRPr="002C3270">
        <w:rPr>
          <w:sz w:val="28"/>
          <w:szCs w:val="28"/>
        </w:rPr>
        <w:t xml:space="preserve">: </w:t>
      </w:r>
      <w:r w:rsidRPr="002C3270">
        <w:rPr>
          <w:rFonts w:cstheme="minorHAnsi"/>
          <w:sz w:val="28"/>
          <w:szCs w:val="28"/>
        </w:rPr>
        <w:t>µ</w:t>
      </w:r>
      <w:r w:rsidRPr="002C3270">
        <w:rPr>
          <w:sz w:val="28"/>
          <w:szCs w:val="28"/>
        </w:rPr>
        <w:t xml:space="preserve"> </w:t>
      </w:r>
      <w:r w:rsidR="0092504B" w:rsidRPr="002C3270">
        <w:rPr>
          <w:sz w:val="28"/>
          <w:szCs w:val="28"/>
        </w:rPr>
        <w:t>&gt;</w:t>
      </w:r>
      <w:r w:rsidRPr="002C3270">
        <w:rPr>
          <w:sz w:val="28"/>
          <w:szCs w:val="28"/>
        </w:rPr>
        <w:t xml:space="preserve"> 63</w:t>
      </w:r>
    </w:p>
    <w:p w14:paraId="4E77D025" w14:textId="42C5C490" w:rsidR="00F43CA1" w:rsidRDefault="00F43CA1" w:rsidP="00F43CA1">
      <w:pPr>
        <w:rPr>
          <w:sz w:val="28"/>
          <w:szCs w:val="28"/>
        </w:rPr>
      </w:pPr>
      <w:r>
        <w:rPr>
          <w:sz w:val="28"/>
          <w:szCs w:val="28"/>
        </w:rPr>
        <w:t xml:space="preserve">Our </w:t>
      </w:r>
      <w:r w:rsidR="00F419AF">
        <w:rPr>
          <w:sz w:val="28"/>
          <w:szCs w:val="28"/>
        </w:rPr>
        <w:t>null</w:t>
      </w:r>
      <w:r>
        <w:rPr>
          <w:sz w:val="28"/>
          <w:szCs w:val="28"/>
        </w:rPr>
        <w:t xml:space="preserve"> hypothesis </w:t>
      </w:r>
      <w:r w:rsidR="00613EE4">
        <w:rPr>
          <w:sz w:val="28"/>
          <w:szCs w:val="28"/>
        </w:rPr>
        <w:t>(</w:t>
      </w:r>
      <w:r>
        <w:rPr>
          <w:sz w:val="28"/>
          <w:szCs w:val="28"/>
        </w:rPr>
        <w:t>aka the one we are testing</w:t>
      </w:r>
      <w:r w:rsidR="00BC50CF">
        <w:rPr>
          <w:sz w:val="28"/>
          <w:szCs w:val="28"/>
        </w:rPr>
        <w:t xml:space="preserve"> or the status quo</w:t>
      </w:r>
      <w:r w:rsidR="001F7162">
        <w:rPr>
          <w:sz w:val="28"/>
          <w:szCs w:val="28"/>
        </w:rPr>
        <w:t>)</w:t>
      </w:r>
      <w:r>
        <w:rPr>
          <w:sz w:val="28"/>
          <w:szCs w:val="28"/>
        </w:rPr>
        <w:t xml:space="preserve"> is that the average age </w:t>
      </w:r>
      <w:r w:rsidR="00327F15">
        <w:rPr>
          <w:sz w:val="28"/>
          <w:szCs w:val="28"/>
        </w:rPr>
        <w:t>of</w:t>
      </w:r>
      <w:r>
        <w:rPr>
          <w:sz w:val="28"/>
          <w:szCs w:val="28"/>
        </w:rPr>
        <w:t xml:space="preserve"> our </w:t>
      </w:r>
      <w:r w:rsidR="00BC50CF">
        <w:rPr>
          <w:sz w:val="28"/>
          <w:szCs w:val="28"/>
        </w:rPr>
        <w:t xml:space="preserve">credit card </w:t>
      </w:r>
      <w:r>
        <w:rPr>
          <w:sz w:val="28"/>
          <w:szCs w:val="28"/>
        </w:rPr>
        <w:t xml:space="preserve">customers </w:t>
      </w:r>
      <w:r w:rsidR="00BC50CF">
        <w:rPr>
          <w:sz w:val="28"/>
          <w:szCs w:val="28"/>
        </w:rPr>
        <w:t xml:space="preserve">is </w:t>
      </w:r>
      <w:r w:rsidR="000E2E71">
        <w:rPr>
          <w:sz w:val="28"/>
          <w:szCs w:val="28"/>
        </w:rPr>
        <w:t>less</w:t>
      </w:r>
      <w:r w:rsidR="00BC50CF">
        <w:rPr>
          <w:sz w:val="28"/>
          <w:szCs w:val="28"/>
        </w:rPr>
        <w:t xml:space="preserve"> than or equal to 63.</w:t>
      </w:r>
      <w:r w:rsidR="001F7162">
        <w:rPr>
          <w:sz w:val="28"/>
          <w:szCs w:val="28"/>
        </w:rPr>
        <w:t xml:space="preserve"> Meanwhile our alternative hypothesis is that the </w:t>
      </w:r>
      <w:r w:rsidR="000E1198">
        <w:rPr>
          <w:sz w:val="28"/>
          <w:szCs w:val="28"/>
        </w:rPr>
        <w:t xml:space="preserve">average age is </w:t>
      </w:r>
      <w:r w:rsidR="000E2E71">
        <w:rPr>
          <w:sz w:val="28"/>
          <w:szCs w:val="28"/>
        </w:rPr>
        <w:t>greater</w:t>
      </w:r>
      <w:r w:rsidR="000E1198">
        <w:rPr>
          <w:sz w:val="28"/>
          <w:szCs w:val="28"/>
        </w:rPr>
        <w:t xml:space="preserve"> than 63. One important thing to note is that the result of our hypothesis test </w:t>
      </w:r>
      <w:r w:rsidR="003D365B">
        <w:rPr>
          <w:sz w:val="28"/>
          <w:szCs w:val="28"/>
        </w:rPr>
        <w:t xml:space="preserve">is in reference to the </w:t>
      </w:r>
      <w:r w:rsidR="003D365B" w:rsidRPr="003D365B">
        <w:rPr>
          <w:b/>
          <w:bCs/>
          <w:i/>
          <w:iCs/>
          <w:sz w:val="28"/>
          <w:szCs w:val="28"/>
        </w:rPr>
        <w:t xml:space="preserve">population </w:t>
      </w:r>
      <w:r w:rsidR="003D365B">
        <w:rPr>
          <w:sz w:val="28"/>
          <w:szCs w:val="28"/>
        </w:rPr>
        <w:t xml:space="preserve">mean rather than the sample mean. So just because our sample mean is less than </w:t>
      </w:r>
      <w:r w:rsidR="003874AF">
        <w:rPr>
          <w:sz w:val="28"/>
          <w:szCs w:val="28"/>
        </w:rPr>
        <w:t>63 doesn’t mean that the population mean</w:t>
      </w:r>
      <w:r w:rsidR="007147BE">
        <w:rPr>
          <w:sz w:val="28"/>
          <w:szCs w:val="28"/>
        </w:rPr>
        <w:t xml:space="preserve"> can’t be or</w:t>
      </w:r>
      <w:r w:rsidR="003874AF">
        <w:rPr>
          <w:sz w:val="28"/>
          <w:szCs w:val="28"/>
        </w:rPr>
        <w:t xml:space="preserve"> isn’t </w:t>
      </w:r>
      <w:r w:rsidR="00BB52C9">
        <w:rPr>
          <w:sz w:val="28"/>
          <w:szCs w:val="28"/>
        </w:rPr>
        <w:t>63 or larger</w:t>
      </w:r>
      <w:r w:rsidR="00613EE4">
        <w:rPr>
          <w:sz w:val="28"/>
          <w:szCs w:val="28"/>
        </w:rPr>
        <w:t>.</w:t>
      </w:r>
      <w:r w:rsidR="00D30EC0">
        <w:rPr>
          <w:sz w:val="28"/>
          <w:szCs w:val="28"/>
        </w:rPr>
        <w:t xml:space="preserve"> We’ll test our claim at the </w:t>
      </w:r>
      <w:r w:rsidR="00174CEC" w:rsidRPr="00F81383">
        <w:rPr>
          <w:b/>
          <w:bCs/>
          <w:i/>
          <w:iCs/>
          <w:sz w:val="28"/>
          <w:szCs w:val="28"/>
        </w:rPr>
        <w:t>5% significance level</w:t>
      </w:r>
      <w:r w:rsidR="00174CEC">
        <w:rPr>
          <w:sz w:val="28"/>
          <w:szCs w:val="28"/>
        </w:rPr>
        <w:t>.</w:t>
      </w:r>
      <w:r w:rsidR="00E95662">
        <w:rPr>
          <w:sz w:val="28"/>
          <w:szCs w:val="28"/>
        </w:rPr>
        <w:t xml:space="preserve"> We get the following results:</w:t>
      </w:r>
    </w:p>
    <w:p w14:paraId="221C8411" w14:textId="77777777" w:rsidR="000A278A" w:rsidRDefault="000A278A" w:rsidP="00F43CA1">
      <w:pPr>
        <w:rPr>
          <w:sz w:val="28"/>
          <w:szCs w:val="28"/>
        </w:rPr>
      </w:pPr>
    </w:p>
    <w:tbl>
      <w:tblPr>
        <w:tblStyle w:val="PlainTable1"/>
        <w:tblW w:w="0" w:type="auto"/>
        <w:tblLook w:val="0480" w:firstRow="0" w:lastRow="0" w:firstColumn="1" w:lastColumn="0" w:noHBand="0" w:noVBand="1"/>
      </w:tblPr>
      <w:tblGrid>
        <w:gridCol w:w="4675"/>
        <w:gridCol w:w="4675"/>
      </w:tblGrid>
      <w:tr w:rsidR="00F61149" w14:paraId="60A7F17E" w14:textId="77777777" w:rsidTr="00A32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296A49" w14:textId="0DCE573A" w:rsidR="00F61149" w:rsidRDefault="002D54DC" w:rsidP="00E95662">
            <w:pPr>
              <w:jc w:val="center"/>
              <w:rPr>
                <w:sz w:val="28"/>
                <w:szCs w:val="28"/>
              </w:rPr>
            </w:pPr>
            <w:r>
              <w:rPr>
                <w:sz w:val="28"/>
                <w:szCs w:val="28"/>
              </w:rPr>
              <w:t xml:space="preserve">T-Score / </w:t>
            </w:r>
            <w:r w:rsidR="00F61149">
              <w:rPr>
                <w:sz w:val="28"/>
                <w:szCs w:val="28"/>
              </w:rPr>
              <w:t>T</w:t>
            </w:r>
            <w:r w:rsidR="00A67CD6">
              <w:rPr>
                <w:sz w:val="28"/>
                <w:szCs w:val="28"/>
              </w:rPr>
              <w:t>est Statistic</w:t>
            </w:r>
          </w:p>
        </w:tc>
        <w:tc>
          <w:tcPr>
            <w:tcW w:w="4675" w:type="dxa"/>
          </w:tcPr>
          <w:p w14:paraId="43DF17FC" w14:textId="2415BB12" w:rsidR="00F61149" w:rsidRPr="00347D0A" w:rsidRDefault="007B0F3F" w:rsidP="007B0F3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347D0A">
              <w:rPr>
                <w:rFonts w:ascii="Calibri" w:hAnsi="Calibri" w:cs="Calibri"/>
                <w:color w:val="000000"/>
                <w:sz w:val="28"/>
                <w:szCs w:val="28"/>
              </w:rPr>
              <w:t>-3.3496818</w:t>
            </w:r>
          </w:p>
        </w:tc>
      </w:tr>
      <w:tr w:rsidR="00F61149" w14:paraId="21AE9AE2" w14:textId="77777777" w:rsidTr="00A32D28">
        <w:tc>
          <w:tcPr>
            <w:cnfStyle w:val="001000000000" w:firstRow="0" w:lastRow="0" w:firstColumn="1" w:lastColumn="0" w:oddVBand="0" w:evenVBand="0" w:oddHBand="0" w:evenHBand="0" w:firstRowFirstColumn="0" w:firstRowLastColumn="0" w:lastRowFirstColumn="0" w:lastRowLastColumn="0"/>
            <w:tcW w:w="4675" w:type="dxa"/>
          </w:tcPr>
          <w:p w14:paraId="25E84B89" w14:textId="3A8A1039" w:rsidR="00F61149" w:rsidRDefault="00F61149" w:rsidP="00E95662">
            <w:pPr>
              <w:jc w:val="center"/>
              <w:rPr>
                <w:sz w:val="28"/>
                <w:szCs w:val="28"/>
              </w:rPr>
            </w:pPr>
            <w:r>
              <w:rPr>
                <w:sz w:val="28"/>
                <w:szCs w:val="28"/>
              </w:rPr>
              <w:t>Critical Value</w:t>
            </w:r>
          </w:p>
        </w:tc>
        <w:tc>
          <w:tcPr>
            <w:tcW w:w="4675" w:type="dxa"/>
          </w:tcPr>
          <w:p w14:paraId="5BA69BA9" w14:textId="5ABF21FD" w:rsidR="00F61149" w:rsidRPr="00347D0A" w:rsidRDefault="00347D0A" w:rsidP="00347D0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sidRPr="00347D0A">
              <w:rPr>
                <w:rFonts w:ascii="Calibri" w:hAnsi="Calibri" w:cs="Calibri"/>
                <w:color w:val="000000"/>
                <w:sz w:val="28"/>
                <w:szCs w:val="28"/>
              </w:rPr>
              <w:t>1.669</w:t>
            </w:r>
          </w:p>
        </w:tc>
      </w:tr>
      <w:tr w:rsidR="00F61149" w14:paraId="4A04ABB4" w14:textId="77777777" w:rsidTr="00A32D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788693" w14:textId="30174415" w:rsidR="00F61149" w:rsidRDefault="00F61149" w:rsidP="00E95662">
            <w:pPr>
              <w:jc w:val="center"/>
              <w:rPr>
                <w:sz w:val="28"/>
                <w:szCs w:val="28"/>
              </w:rPr>
            </w:pPr>
            <w:r>
              <w:rPr>
                <w:sz w:val="28"/>
                <w:szCs w:val="28"/>
              </w:rPr>
              <w:t>P-Value</w:t>
            </w:r>
          </w:p>
        </w:tc>
        <w:tc>
          <w:tcPr>
            <w:tcW w:w="4675" w:type="dxa"/>
          </w:tcPr>
          <w:p w14:paraId="24CF9144" w14:textId="35D09FC3" w:rsidR="00F61149" w:rsidRPr="00347D0A" w:rsidRDefault="00347D0A" w:rsidP="00347D0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sidRPr="00347D0A">
              <w:rPr>
                <w:rFonts w:ascii="Calibri" w:hAnsi="Calibri" w:cs="Calibri"/>
                <w:color w:val="000000"/>
                <w:sz w:val="28"/>
                <w:szCs w:val="28"/>
              </w:rPr>
              <w:t>0.</w:t>
            </w:r>
            <w:r w:rsidR="00265597">
              <w:rPr>
                <w:rFonts w:ascii="Calibri" w:hAnsi="Calibri" w:cs="Calibri"/>
                <w:color w:val="000000"/>
                <w:sz w:val="28"/>
                <w:szCs w:val="28"/>
              </w:rPr>
              <w:t>9993</w:t>
            </w:r>
          </w:p>
        </w:tc>
      </w:tr>
    </w:tbl>
    <w:p w14:paraId="13FEAEA3" w14:textId="217AD46D" w:rsidR="00C21C3B" w:rsidRDefault="00C21C3B" w:rsidP="00192F17">
      <w:pPr>
        <w:rPr>
          <w:sz w:val="28"/>
          <w:szCs w:val="28"/>
        </w:rPr>
      </w:pPr>
    </w:p>
    <w:p w14:paraId="003413E5" w14:textId="4E611B19" w:rsidR="00431D4C" w:rsidRDefault="00265597" w:rsidP="00192F17">
      <w:pPr>
        <w:rPr>
          <w:sz w:val="28"/>
          <w:szCs w:val="28"/>
        </w:rPr>
      </w:pPr>
      <w:r w:rsidRPr="00F44079">
        <w:rPr>
          <w:b/>
          <w:bCs/>
          <w:i/>
          <w:iCs/>
          <w:sz w:val="28"/>
          <w:szCs w:val="28"/>
        </w:rPr>
        <w:t xml:space="preserve">It appears that </w:t>
      </w:r>
      <w:r w:rsidR="00414BEE" w:rsidRPr="00F44079">
        <w:rPr>
          <w:b/>
          <w:bCs/>
          <w:i/>
          <w:iCs/>
          <w:sz w:val="28"/>
          <w:szCs w:val="28"/>
        </w:rPr>
        <w:t xml:space="preserve">we do not have sufficient evidence to conclude that </w:t>
      </w:r>
      <w:r w:rsidR="00886A74" w:rsidRPr="00F44079">
        <w:rPr>
          <w:b/>
          <w:bCs/>
          <w:i/>
          <w:iCs/>
          <w:sz w:val="28"/>
          <w:szCs w:val="28"/>
        </w:rPr>
        <w:t>the population mean age is greater than 63.</w:t>
      </w:r>
      <w:r w:rsidR="00886A74">
        <w:rPr>
          <w:sz w:val="28"/>
          <w:szCs w:val="28"/>
        </w:rPr>
        <w:t xml:space="preserve"> </w:t>
      </w:r>
      <w:r w:rsidR="006B2B6B">
        <w:rPr>
          <w:sz w:val="28"/>
          <w:szCs w:val="28"/>
        </w:rPr>
        <w:t xml:space="preserve">In fact, we have overwhelming evidence </w:t>
      </w:r>
      <w:r w:rsidR="00942DE7">
        <w:rPr>
          <w:sz w:val="28"/>
          <w:szCs w:val="28"/>
        </w:rPr>
        <w:t>that the opposite is true</w:t>
      </w:r>
      <w:r w:rsidR="0015194A">
        <w:rPr>
          <w:sz w:val="28"/>
          <w:szCs w:val="28"/>
        </w:rPr>
        <w:t xml:space="preserve">. </w:t>
      </w:r>
      <w:r w:rsidR="00430F56">
        <w:rPr>
          <w:sz w:val="28"/>
          <w:szCs w:val="28"/>
        </w:rPr>
        <w:t xml:space="preserve">A hypothesis test of </w:t>
      </w:r>
      <w:r w:rsidR="00E94212">
        <w:rPr>
          <w:sz w:val="28"/>
          <w:szCs w:val="28"/>
        </w:rPr>
        <w:t xml:space="preserve">greater or less than is what is known as a one tailed test. During a one tailed test we are </w:t>
      </w:r>
      <w:r w:rsidR="00F2414F">
        <w:rPr>
          <w:sz w:val="28"/>
          <w:szCs w:val="28"/>
        </w:rPr>
        <w:t>testing for statistical significance in only one direction (</w:t>
      </w:r>
      <w:r w:rsidR="00311862">
        <w:rPr>
          <w:sz w:val="28"/>
          <w:szCs w:val="28"/>
        </w:rPr>
        <w:t>right/</w:t>
      </w:r>
      <w:r w:rsidR="00F2414F">
        <w:rPr>
          <w:sz w:val="28"/>
          <w:szCs w:val="28"/>
        </w:rPr>
        <w:t>positive</w:t>
      </w:r>
      <w:r w:rsidR="00311862">
        <w:rPr>
          <w:sz w:val="28"/>
          <w:szCs w:val="28"/>
        </w:rPr>
        <w:t xml:space="preserve"> in this scenario) and completely disregarding the effect </w:t>
      </w:r>
      <w:r w:rsidR="000B221C">
        <w:rPr>
          <w:sz w:val="28"/>
          <w:szCs w:val="28"/>
        </w:rPr>
        <w:t xml:space="preserve">in the opposite direction. </w:t>
      </w:r>
      <w:r w:rsidR="00383B55">
        <w:rPr>
          <w:sz w:val="28"/>
          <w:szCs w:val="28"/>
        </w:rPr>
        <w:t xml:space="preserve">For us to be able to reject the null </w:t>
      </w:r>
      <w:r w:rsidR="00454BCD">
        <w:rPr>
          <w:sz w:val="28"/>
          <w:szCs w:val="28"/>
        </w:rPr>
        <w:t xml:space="preserve">hypothesis </w:t>
      </w:r>
      <w:r w:rsidR="00383B55">
        <w:rPr>
          <w:sz w:val="28"/>
          <w:szCs w:val="28"/>
        </w:rPr>
        <w:t xml:space="preserve">then our test statistic </w:t>
      </w:r>
      <w:r w:rsidR="0018610D">
        <w:rPr>
          <w:sz w:val="28"/>
          <w:szCs w:val="28"/>
        </w:rPr>
        <w:t>is</w:t>
      </w:r>
      <w:r w:rsidR="00317DC2">
        <w:rPr>
          <w:sz w:val="28"/>
          <w:szCs w:val="28"/>
        </w:rPr>
        <w:t xml:space="preserve"> required</w:t>
      </w:r>
      <w:r w:rsidR="00782CD5">
        <w:rPr>
          <w:sz w:val="28"/>
          <w:szCs w:val="28"/>
        </w:rPr>
        <w:t xml:space="preserve"> to </w:t>
      </w:r>
      <w:r w:rsidR="0018610D">
        <w:rPr>
          <w:sz w:val="28"/>
          <w:szCs w:val="28"/>
        </w:rPr>
        <w:t>be</w:t>
      </w:r>
      <w:r w:rsidR="00691DA6">
        <w:rPr>
          <w:sz w:val="28"/>
          <w:szCs w:val="28"/>
        </w:rPr>
        <w:t xml:space="preserve"> greater than our critical value.</w:t>
      </w:r>
      <w:r w:rsidR="00FE54C4">
        <w:rPr>
          <w:sz w:val="28"/>
          <w:szCs w:val="28"/>
        </w:rPr>
        <w:t xml:space="preserve"> In this case, our test statistic is significantly lower than our </w:t>
      </w:r>
      <w:r w:rsidR="00C00C82">
        <w:rPr>
          <w:sz w:val="28"/>
          <w:szCs w:val="28"/>
        </w:rPr>
        <w:t>critical value</w:t>
      </w:r>
      <w:r w:rsidR="00F2414F">
        <w:rPr>
          <w:sz w:val="28"/>
          <w:szCs w:val="28"/>
        </w:rPr>
        <w:t xml:space="preserve"> </w:t>
      </w:r>
      <w:r w:rsidR="00CE2A13">
        <w:rPr>
          <w:sz w:val="28"/>
          <w:szCs w:val="28"/>
        </w:rPr>
        <w:t>(</w:t>
      </w:r>
      <w:r w:rsidR="00010614">
        <w:rPr>
          <w:sz w:val="28"/>
          <w:szCs w:val="28"/>
        </w:rPr>
        <w:t xml:space="preserve">T = </w:t>
      </w:r>
      <w:r w:rsidR="000B6F01">
        <w:rPr>
          <w:sz w:val="28"/>
          <w:szCs w:val="28"/>
        </w:rPr>
        <w:t xml:space="preserve">-3.35 &lt; </w:t>
      </w:r>
      <w:r w:rsidR="00010614">
        <w:rPr>
          <w:sz w:val="28"/>
          <w:szCs w:val="28"/>
        </w:rPr>
        <w:t xml:space="preserve">t = </w:t>
      </w:r>
      <w:r w:rsidR="000B6F01">
        <w:rPr>
          <w:sz w:val="28"/>
          <w:szCs w:val="28"/>
        </w:rPr>
        <w:t>1.669)</w:t>
      </w:r>
      <w:r w:rsidR="00CF0C5E">
        <w:rPr>
          <w:sz w:val="28"/>
          <w:szCs w:val="28"/>
        </w:rPr>
        <w:t xml:space="preserve"> so we </w:t>
      </w:r>
      <w:r w:rsidR="00045D51">
        <w:rPr>
          <w:sz w:val="28"/>
          <w:szCs w:val="28"/>
        </w:rPr>
        <w:t>fail to reject the null hypothesis.</w:t>
      </w:r>
      <w:r w:rsidR="00873CD0">
        <w:rPr>
          <w:sz w:val="28"/>
          <w:szCs w:val="28"/>
        </w:rPr>
        <w:t xml:space="preserve"> This makes sense </w:t>
      </w:r>
      <w:r w:rsidR="00661465">
        <w:rPr>
          <w:sz w:val="28"/>
          <w:szCs w:val="28"/>
        </w:rPr>
        <w:t>as</w:t>
      </w:r>
      <w:r w:rsidR="007F58B4">
        <w:rPr>
          <w:sz w:val="28"/>
          <w:szCs w:val="28"/>
        </w:rPr>
        <w:t xml:space="preserve">, if you remember back to our confidence interval, </w:t>
      </w:r>
      <w:r w:rsidR="007645F2">
        <w:rPr>
          <w:sz w:val="28"/>
          <w:szCs w:val="28"/>
        </w:rPr>
        <w:t xml:space="preserve">we calculated an upper bound of </w:t>
      </w:r>
      <w:r w:rsidR="00365E4F">
        <w:rPr>
          <w:sz w:val="28"/>
          <w:szCs w:val="28"/>
        </w:rPr>
        <w:t>61 years</w:t>
      </w:r>
      <w:r w:rsidR="00413F9D">
        <w:rPr>
          <w:sz w:val="28"/>
          <w:szCs w:val="28"/>
        </w:rPr>
        <w:t xml:space="preserve"> which is </w:t>
      </w:r>
      <w:r w:rsidR="00C15357">
        <w:rPr>
          <w:sz w:val="28"/>
          <w:szCs w:val="28"/>
        </w:rPr>
        <w:t xml:space="preserve">two years </w:t>
      </w:r>
      <w:r w:rsidR="00413F9D">
        <w:rPr>
          <w:sz w:val="28"/>
          <w:szCs w:val="28"/>
        </w:rPr>
        <w:t xml:space="preserve">lower </w:t>
      </w:r>
      <w:r w:rsidR="00661465">
        <w:rPr>
          <w:sz w:val="28"/>
          <w:szCs w:val="28"/>
        </w:rPr>
        <w:t>than our hypothesized mean.</w:t>
      </w:r>
      <w:r w:rsidR="00045D51">
        <w:rPr>
          <w:sz w:val="28"/>
          <w:szCs w:val="28"/>
        </w:rPr>
        <w:t xml:space="preserve"> </w:t>
      </w:r>
      <w:r w:rsidR="00234D53">
        <w:rPr>
          <w:sz w:val="28"/>
          <w:szCs w:val="28"/>
        </w:rPr>
        <w:t xml:space="preserve">So, </w:t>
      </w:r>
      <w:r w:rsidR="007D4B0E">
        <w:rPr>
          <w:sz w:val="28"/>
          <w:szCs w:val="28"/>
        </w:rPr>
        <w:t xml:space="preserve">it would only make sense that </w:t>
      </w:r>
      <w:r w:rsidR="0042193F">
        <w:rPr>
          <w:sz w:val="28"/>
          <w:szCs w:val="28"/>
        </w:rPr>
        <w:t>when testing at the 5% significance level</w:t>
      </w:r>
      <w:r w:rsidR="009177B8">
        <w:rPr>
          <w:sz w:val="28"/>
          <w:szCs w:val="28"/>
        </w:rPr>
        <w:t xml:space="preserve"> </w:t>
      </w:r>
      <w:r w:rsidR="0042193F">
        <w:rPr>
          <w:sz w:val="28"/>
          <w:szCs w:val="28"/>
        </w:rPr>
        <w:t xml:space="preserve">we </w:t>
      </w:r>
      <w:r w:rsidR="001F2B60">
        <w:rPr>
          <w:sz w:val="28"/>
          <w:szCs w:val="28"/>
        </w:rPr>
        <w:t xml:space="preserve">would </w:t>
      </w:r>
      <w:r w:rsidR="009F2BDC">
        <w:rPr>
          <w:sz w:val="28"/>
          <w:szCs w:val="28"/>
        </w:rPr>
        <w:t>be unable to prove that the mean age is greater than 63.</w:t>
      </w:r>
    </w:p>
    <w:p w14:paraId="46269BC9" w14:textId="0C59497A" w:rsidR="00FA4B91" w:rsidRPr="00D83928" w:rsidRDefault="00FA4B91" w:rsidP="00FA4B91">
      <w:pPr>
        <w:jc w:val="center"/>
        <w:rPr>
          <w:rFonts w:asciiTheme="majorHAnsi" w:hAnsiTheme="majorHAnsi"/>
          <w:b/>
          <w:bCs/>
          <w:sz w:val="48"/>
          <w:szCs w:val="48"/>
        </w:rPr>
      </w:pPr>
      <w:r w:rsidRPr="00D83928">
        <w:rPr>
          <w:rFonts w:asciiTheme="majorHAnsi" w:hAnsiTheme="majorHAnsi"/>
          <w:b/>
          <w:bCs/>
          <w:sz w:val="48"/>
          <w:szCs w:val="48"/>
        </w:rPr>
        <w:t>Tenure with Bank</w:t>
      </w:r>
    </w:p>
    <w:p w14:paraId="743FAF7C" w14:textId="7618E84B" w:rsidR="008C467D" w:rsidRDefault="00DE2D2E" w:rsidP="00B65E84">
      <w:pPr>
        <w:rPr>
          <w:sz w:val="28"/>
          <w:szCs w:val="28"/>
        </w:rPr>
      </w:pPr>
      <w:r>
        <w:rPr>
          <w:sz w:val="28"/>
          <w:szCs w:val="28"/>
        </w:rPr>
        <w:t>We will now look at the tenure of customers with the bank</w:t>
      </w:r>
      <w:r w:rsidR="00A552AC">
        <w:rPr>
          <w:sz w:val="28"/>
          <w:szCs w:val="28"/>
        </w:rPr>
        <w:t xml:space="preserve">. </w:t>
      </w:r>
      <w:r w:rsidR="006F6046">
        <w:rPr>
          <w:sz w:val="28"/>
          <w:szCs w:val="28"/>
        </w:rPr>
        <w:t xml:space="preserve">Tenure is defined as the fractional number of years </w:t>
      </w:r>
      <w:r w:rsidR="00A410ED">
        <w:rPr>
          <w:sz w:val="28"/>
          <w:szCs w:val="28"/>
        </w:rPr>
        <w:t>between when</w:t>
      </w:r>
      <w:r w:rsidR="006F6046">
        <w:rPr>
          <w:sz w:val="28"/>
          <w:szCs w:val="28"/>
        </w:rPr>
        <w:t xml:space="preserve"> the </w:t>
      </w:r>
      <w:r w:rsidR="00A552AC">
        <w:rPr>
          <w:sz w:val="28"/>
          <w:szCs w:val="28"/>
        </w:rPr>
        <w:t>customer established their relationship with the bank and</w:t>
      </w:r>
      <w:r>
        <w:rPr>
          <w:sz w:val="28"/>
          <w:szCs w:val="28"/>
        </w:rPr>
        <w:t xml:space="preserve"> </w:t>
      </w:r>
      <w:r w:rsidR="00263C2B">
        <w:rPr>
          <w:sz w:val="28"/>
          <w:szCs w:val="28"/>
        </w:rPr>
        <w:t>when they applied for their credit card.</w:t>
      </w:r>
      <w:r w:rsidR="00DF4C7F">
        <w:rPr>
          <w:sz w:val="28"/>
          <w:szCs w:val="28"/>
        </w:rPr>
        <w:t xml:space="preserve"> </w:t>
      </w:r>
      <w:r w:rsidR="00823DCC">
        <w:rPr>
          <w:sz w:val="28"/>
          <w:szCs w:val="28"/>
        </w:rPr>
        <w:t xml:space="preserve">This is calculated by subtracting their application date from </w:t>
      </w:r>
      <w:r w:rsidR="00C25B3C">
        <w:rPr>
          <w:sz w:val="28"/>
          <w:szCs w:val="28"/>
        </w:rPr>
        <w:t>their establishment date.</w:t>
      </w:r>
      <w:r w:rsidR="00707DF5">
        <w:rPr>
          <w:sz w:val="28"/>
          <w:szCs w:val="28"/>
        </w:rPr>
        <w:t xml:space="preserve"> </w:t>
      </w:r>
      <w:r w:rsidR="00F12C16">
        <w:rPr>
          <w:sz w:val="28"/>
          <w:szCs w:val="28"/>
        </w:rPr>
        <w:t xml:space="preserve">Unlike the </w:t>
      </w:r>
      <w:r w:rsidR="00CC10C5">
        <w:rPr>
          <w:sz w:val="28"/>
          <w:szCs w:val="28"/>
        </w:rPr>
        <w:t>distribution of ages, the distribution of years is moderately right skewed</w:t>
      </w:r>
      <w:r w:rsidR="00724D15">
        <w:rPr>
          <w:sz w:val="28"/>
          <w:szCs w:val="28"/>
        </w:rPr>
        <w:t xml:space="preserve">. </w:t>
      </w:r>
      <w:r w:rsidR="00473EE2">
        <w:rPr>
          <w:sz w:val="28"/>
          <w:szCs w:val="28"/>
        </w:rPr>
        <w:t>From looking at the graph</w:t>
      </w:r>
      <w:r w:rsidR="000C2890">
        <w:rPr>
          <w:sz w:val="28"/>
          <w:szCs w:val="28"/>
        </w:rPr>
        <w:t>,</w:t>
      </w:r>
      <w:r w:rsidR="00963319">
        <w:rPr>
          <w:sz w:val="28"/>
          <w:szCs w:val="28"/>
        </w:rPr>
        <w:t xml:space="preserve"> we</w:t>
      </w:r>
      <w:r w:rsidR="000C2890">
        <w:rPr>
          <w:sz w:val="28"/>
          <w:szCs w:val="28"/>
        </w:rPr>
        <w:t xml:space="preserve"> </w:t>
      </w:r>
      <w:r w:rsidR="00963319">
        <w:rPr>
          <w:sz w:val="28"/>
          <w:szCs w:val="28"/>
        </w:rPr>
        <w:t>observe</w:t>
      </w:r>
      <w:r w:rsidR="000C2890">
        <w:rPr>
          <w:sz w:val="28"/>
          <w:szCs w:val="28"/>
        </w:rPr>
        <w:t xml:space="preserve"> that</w:t>
      </w:r>
      <w:r w:rsidR="00E34C18">
        <w:rPr>
          <w:sz w:val="28"/>
          <w:szCs w:val="28"/>
        </w:rPr>
        <w:t xml:space="preserve"> </w:t>
      </w:r>
      <w:r w:rsidR="001F0AAC">
        <w:rPr>
          <w:sz w:val="28"/>
          <w:szCs w:val="28"/>
        </w:rPr>
        <w:t>a decent proportion</w:t>
      </w:r>
      <w:r w:rsidR="000372C2">
        <w:rPr>
          <w:sz w:val="28"/>
          <w:szCs w:val="28"/>
        </w:rPr>
        <w:t xml:space="preserve"> of customers are </w:t>
      </w:r>
      <w:r w:rsidR="000C2890">
        <w:rPr>
          <w:sz w:val="28"/>
          <w:szCs w:val="28"/>
        </w:rPr>
        <w:t>concentrated in</w:t>
      </w:r>
      <w:r w:rsidR="0050514D">
        <w:rPr>
          <w:sz w:val="28"/>
          <w:szCs w:val="28"/>
        </w:rPr>
        <w:t xml:space="preserve"> </w:t>
      </w:r>
      <w:r w:rsidR="001F0AAC">
        <w:rPr>
          <w:sz w:val="28"/>
          <w:szCs w:val="28"/>
        </w:rPr>
        <w:t xml:space="preserve">the </w:t>
      </w:r>
      <w:r w:rsidR="0050514D">
        <w:rPr>
          <w:sz w:val="28"/>
          <w:szCs w:val="28"/>
        </w:rPr>
        <w:t>mid to lower</w:t>
      </w:r>
      <w:r w:rsidR="00A959EE">
        <w:rPr>
          <w:sz w:val="28"/>
          <w:szCs w:val="28"/>
        </w:rPr>
        <w:t xml:space="preserve"> </w:t>
      </w:r>
      <w:r>
        <w:rPr>
          <w:sz w:val="28"/>
          <w:szCs w:val="28"/>
        </w:rPr>
        <w:t xml:space="preserve">year </w:t>
      </w:r>
      <w:r w:rsidR="0087327D">
        <w:rPr>
          <w:sz w:val="28"/>
          <w:szCs w:val="28"/>
        </w:rPr>
        <w:t>bins</w:t>
      </w:r>
      <w:r w:rsidR="0050514D">
        <w:rPr>
          <w:sz w:val="28"/>
          <w:szCs w:val="28"/>
        </w:rPr>
        <w:t xml:space="preserve">. </w:t>
      </w:r>
      <w:r w:rsidR="000701A8">
        <w:rPr>
          <w:sz w:val="28"/>
          <w:szCs w:val="28"/>
        </w:rPr>
        <w:t xml:space="preserve">A skewness of </w:t>
      </w:r>
      <w:r w:rsidR="000701A8" w:rsidRPr="00F40AB9">
        <w:rPr>
          <w:b/>
          <w:bCs/>
          <w:i/>
          <w:iCs/>
          <w:sz w:val="28"/>
          <w:szCs w:val="28"/>
        </w:rPr>
        <w:t>0.66</w:t>
      </w:r>
      <w:r w:rsidR="000701A8">
        <w:rPr>
          <w:sz w:val="28"/>
          <w:szCs w:val="28"/>
        </w:rPr>
        <w:t xml:space="preserve"> </w:t>
      </w:r>
      <w:r w:rsidR="00816718">
        <w:rPr>
          <w:sz w:val="28"/>
          <w:szCs w:val="28"/>
        </w:rPr>
        <w:t>supports thi</w:t>
      </w:r>
      <w:r w:rsidR="00B65E84">
        <w:rPr>
          <w:sz w:val="28"/>
          <w:szCs w:val="28"/>
        </w:rPr>
        <w:t>s</w:t>
      </w:r>
      <w:r w:rsidR="00816718">
        <w:rPr>
          <w:sz w:val="28"/>
          <w:szCs w:val="28"/>
        </w:rPr>
        <w:t xml:space="preserve"> claim</w:t>
      </w:r>
      <w:r w:rsidR="005C08B7">
        <w:rPr>
          <w:sz w:val="28"/>
          <w:szCs w:val="28"/>
        </w:rPr>
        <w:t xml:space="preserve">. However, </w:t>
      </w:r>
      <w:r w:rsidR="008B7EB0">
        <w:rPr>
          <w:sz w:val="28"/>
          <w:szCs w:val="28"/>
        </w:rPr>
        <w:t>like</w:t>
      </w:r>
      <w:r w:rsidR="00571F3C">
        <w:rPr>
          <w:sz w:val="28"/>
          <w:szCs w:val="28"/>
        </w:rPr>
        <w:t xml:space="preserve"> the distribution of ages, </w:t>
      </w:r>
      <w:r w:rsidR="005C08B7">
        <w:rPr>
          <w:sz w:val="28"/>
          <w:szCs w:val="28"/>
        </w:rPr>
        <w:t xml:space="preserve">when calculating our upper </w:t>
      </w:r>
      <w:r w:rsidR="00571F3C">
        <w:rPr>
          <w:sz w:val="28"/>
          <w:szCs w:val="28"/>
        </w:rPr>
        <w:t xml:space="preserve">outlier fence </w:t>
      </w:r>
      <w:r w:rsidR="00926E39" w:rsidRPr="00F904F7">
        <w:rPr>
          <w:b/>
          <w:bCs/>
          <w:i/>
          <w:iCs/>
          <w:sz w:val="28"/>
          <w:szCs w:val="28"/>
        </w:rPr>
        <w:t>(60.37)</w:t>
      </w:r>
      <w:r w:rsidR="00926E39">
        <w:rPr>
          <w:sz w:val="28"/>
          <w:szCs w:val="28"/>
        </w:rPr>
        <w:t xml:space="preserve"> </w:t>
      </w:r>
      <w:r w:rsidR="00571F3C">
        <w:rPr>
          <w:sz w:val="28"/>
          <w:szCs w:val="28"/>
        </w:rPr>
        <w:t xml:space="preserve">we once again see that </w:t>
      </w:r>
      <w:r w:rsidR="00BD0F53">
        <w:rPr>
          <w:sz w:val="28"/>
          <w:szCs w:val="28"/>
        </w:rPr>
        <w:t xml:space="preserve">there are no true outliers. </w:t>
      </w:r>
      <w:r w:rsidR="00F94796">
        <w:rPr>
          <w:sz w:val="28"/>
          <w:szCs w:val="28"/>
        </w:rPr>
        <w:t>Instead,</w:t>
      </w:r>
      <w:r w:rsidR="00066112">
        <w:rPr>
          <w:sz w:val="28"/>
          <w:szCs w:val="28"/>
        </w:rPr>
        <w:t xml:space="preserve"> the data is just </w:t>
      </w:r>
      <w:r w:rsidR="00F94796">
        <w:rPr>
          <w:sz w:val="28"/>
          <w:szCs w:val="28"/>
        </w:rPr>
        <w:t xml:space="preserve">distributed in such a way that there is a higher concentration of </w:t>
      </w:r>
      <w:r w:rsidR="00D47BD2">
        <w:rPr>
          <w:sz w:val="28"/>
          <w:szCs w:val="28"/>
        </w:rPr>
        <w:t xml:space="preserve">applicants in the </w:t>
      </w:r>
      <w:r w:rsidR="00DE463F">
        <w:rPr>
          <w:sz w:val="28"/>
          <w:szCs w:val="28"/>
        </w:rPr>
        <w:t xml:space="preserve">mid to </w:t>
      </w:r>
      <w:r w:rsidR="00D47BD2">
        <w:rPr>
          <w:sz w:val="28"/>
          <w:szCs w:val="28"/>
        </w:rPr>
        <w:t>lower bins.</w:t>
      </w:r>
      <w:r w:rsidR="00591125">
        <w:rPr>
          <w:sz w:val="28"/>
          <w:szCs w:val="28"/>
        </w:rPr>
        <w:t xml:space="preserve"> </w:t>
      </w:r>
      <w:r w:rsidR="00E35D4C">
        <w:rPr>
          <w:sz w:val="28"/>
          <w:szCs w:val="28"/>
        </w:rPr>
        <w:t xml:space="preserve">Our distribution covers a range of </w:t>
      </w:r>
      <w:r w:rsidR="00E35D4C" w:rsidRPr="00F904F7">
        <w:rPr>
          <w:b/>
          <w:bCs/>
          <w:i/>
          <w:iCs/>
          <w:sz w:val="28"/>
          <w:szCs w:val="28"/>
        </w:rPr>
        <w:t>52.49</w:t>
      </w:r>
      <w:r w:rsidR="00E35D4C">
        <w:rPr>
          <w:sz w:val="28"/>
          <w:szCs w:val="28"/>
        </w:rPr>
        <w:t xml:space="preserve"> years</w:t>
      </w:r>
      <w:r w:rsidR="00000AB0">
        <w:rPr>
          <w:sz w:val="28"/>
          <w:szCs w:val="28"/>
        </w:rPr>
        <w:t xml:space="preserve"> which is exactly equal to our maximum value. This makes sense as some customers choose to apply for </w:t>
      </w:r>
      <w:r w:rsidR="005D7CAF">
        <w:rPr>
          <w:sz w:val="28"/>
          <w:szCs w:val="28"/>
        </w:rPr>
        <w:t>a</w:t>
      </w:r>
      <w:r w:rsidR="00000AB0">
        <w:rPr>
          <w:sz w:val="28"/>
          <w:szCs w:val="28"/>
        </w:rPr>
        <w:t xml:space="preserve"> credit card</w:t>
      </w:r>
      <w:r w:rsidR="007F6F10">
        <w:rPr>
          <w:sz w:val="28"/>
          <w:szCs w:val="28"/>
        </w:rPr>
        <w:t xml:space="preserve"> </w:t>
      </w:r>
      <w:r w:rsidR="002B2EC1">
        <w:rPr>
          <w:sz w:val="28"/>
          <w:szCs w:val="28"/>
        </w:rPr>
        <w:t xml:space="preserve">at the time of their </w:t>
      </w:r>
      <w:r w:rsidR="00280578">
        <w:rPr>
          <w:sz w:val="28"/>
          <w:szCs w:val="28"/>
        </w:rPr>
        <w:lastRenderedPageBreak/>
        <w:t xml:space="preserve">relationship </w:t>
      </w:r>
      <w:r w:rsidR="002B2EC1">
        <w:rPr>
          <w:sz w:val="28"/>
          <w:szCs w:val="28"/>
        </w:rPr>
        <w:t>establishment</w:t>
      </w:r>
      <w:r w:rsidR="00B4592A">
        <w:rPr>
          <w:sz w:val="28"/>
          <w:szCs w:val="28"/>
        </w:rPr>
        <w:t xml:space="preserve"> </w:t>
      </w:r>
      <w:r w:rsidR="002B2EC1">
        <w:rPr>
          <w:sz w:val="28"/>
          <w:szCs w:val="28"/>
        </w:rPr>
        <w:t>date</w:t>
      </w:r>
      <w:r w:rsidR="00000AB0">
        <w:rPr>
          <w:sz w:val="28"/>
          <w:szCs w:val="28"/>
        </w:rPr>
        <w:t>.</w:t>
      </w:r>
      <w:r w:rsidR="006F6CBC">
        <w:rPr>
          <w:sz w:val="28"/>
          <w:szCs w:val="28"/>
        </w:rPr>
        <w:t xml:space="preserve"> </w:t>
      </w:r>
      <w:r w:rsidR="000D48BE">
        <w:rPr>
          <w:sz w:val="28"/>
          <w:szCs w:val="28"/>
        </w:rPr>
        <w:t xml:space="preserve">The average tenure of our applicants is </w:t>
      </w:r>
      <w:r w:rsidR="000D48BE" w:rsidRPr="00E92A21">
        <w:rPr>
          <w:b/>
          <w:bCs/>
          <w:i/>
          <w:iCs/>
          <w:sz w:val="28"/>
          <w:szCs w:val="28"/>
        </w:rPr>
        <w:t>16.59</w:t>
      </w:r>
      <w:r w:rsidR="000D48BE">
        <w:rPr>
          <w:sz w:val="28"/>
          <w:szCs w:val="28"/>
        </w:rPr>
        <w:t xml:space="preserve"> years </w:t>
      </w:r>
      <w:r w:rsidR="002D25EF">
        <w:rPr>
          <w:sz w:val="28"/>
          <w:szCs w:val="28"/>
        </w:rPr>
        <w:t xml:space="preserve">with </w:t>
      </w:r>
      <w:r w:rsidR="004B6F4F">
        <w:rPr>
          <w:sz w:val="28"/>
          <w:szCs w:val="28"/>
        </w:rPr>
        <w:t xml:space="preserve">a </w:t>
      </w:r>
      <w:r w:rsidR="002D25EF">
        <w:rPr>
          <w:sz w:val="28"/>
          <w:szCs w:val="28"/>
        </w:rPr>
        <w:t xml:space="preserve">standard deviation </w:t>
      </w:r>
      <w:r w:rsidR="00ED2AF1">
        <w:rPr>
          <w:sz w:val="28"/>
          <w:szCs w:val="28"/>
        </w:rPr>
        <w:t xml:space="preserve">of </w:t>
      </w:r>
      <w:r w:rsidR="002D25EF" w:rsidRPr="001079E3">
        <w:rPr>
          <w:b/>
          <w:bCs/>
          <w:i/>
          <w:iCs/>
          <w:sz w:val="28"/>
          <w:szCs w:val="28"/>
        </w:rPr>
        <w:t>13.2</w:t>
      </w:r>
      <w:r w:rsidR="001079E3" w:rsidRPr="001079E3">
        <w:rPr>
          <w:b/>
          <w:bCs/>
          <w:i/>
          <w:iCs/>
          <w:sz w:val="28"/>
          <w:szCs w:val="28"/>
        </w:rPr>
        <w:t>3</w:t>
      </w:r>
      <w:r w:rsidR="001079E3">
        <w:rPr>
          <w:sz w:val="28"/>
          <w:szCs w:val="28"/>
        </w:rPr>
        <w:t xml:space="preserve">. </w:t>
      </w:r>
      <w:r w:rsidR="006E4A2F">
        <w:rPr>
          <w:sz w:val="28"/>
          <w:szCs w:val="28"/>
        </w:rPr>
        <w:t>This</w:t>
      </w:r>
      <w:r w:rsidR="000D48BE">
        <w:rPr>
          <w:sz w:val="28"/>
          <w:szCs w:val="28"/>
        </w:rPr>
        <w:t xml:space="preserve"> converts to a </w:t>
      </w:r>
      <w:r w:rsidR="000D48BE" w:rsidRPr="00E92A21">
        <w:rPr>
          <w:b/>
          <w:bCs/>
          <w:i/>
          <w:iCs/>
          <w:sz w:val="28"/>
          <w:szCs w:val="28"/>
        </w:rPr>
        <w:t>95 % confidence interval</w:t>
      </w:r>
      <w:r w:rsidR="000D48BE">
        <w:rPr>
          <w:sz w:val="28"/>
          <w:szCs w:val="28"/>
        </w:rPr>
        <w:t xml:space="preserve"> of </w:t>
      </w:r>
      <w:r w:rsidR="000D48BE" w:rsidRPr="00E92A21">
        <w:rPr>
          <w:b/>
          <w:bCs/>
          <w:i/>
          <w:iCs/>
          <w:sz w:val="28"/>
          <w:szCs w:val="28"/>
        </w:rPr>
        <w:t>13 to 20 years</w:t>
      </w:r>
      <w:r w:rsidR="000D48BE">
        <w:rPr>
          <w:sz w:val="28"/>
          <w:szCs w:val="28"/>
        </w:rPr>
        <w:t xml:space="preserve">. </w:t>
      </w:r>
      <w:r w:rsidR="00741A3C">
        <w:rPr>
          <w:sz w:val="28"/>
          <w:szCs w:val="28"/>
        </w:rPr>
        <w:t>However, s</w:t>
      </w:r>
      <w:r w:rsidR="00FD5307">
        <w:rPr>
          <w:sz w:val="28"/>
          <w:szCs w:val="28"/>
        </w:rPr>
        <w:t xml:space="preserve">eeing as </w:t>
      </w:r>
      <w:r w:rsidR="00350FBA">
        <w:rPr>
          <w:sz w:val="28"/>
          <w:szCs w:val="28"/>
        </w:rPr>
        <w:t xml:space="preserve">our distribution exhibits a moderate amount of skew, it may be more beneficial to look at the </w:t>
      </w:r>
      <w:r w:rsidR="00741A3C">
        <w:rPr>
          <w:sz w:val="28"/>
          <w:szCs w:val="28"/>
        </w:rPr>
        <w:t>median</w:t>
      </w:r>
      <w:r w:rsidR="00500DC5">
        <w:rPr>
          <w:sz w:val="28"/>
          <w:szCs w:val="28"/>
        </w:rPr>
        <w:t xml:space="preserve"> </w:t>
      </w:r>
      <w:r w:rsidR="00E47251">
        <w:rPr>
          <w:sz w:val="28"/>
          <w:szCs w:val="28"/>
        </w:rPr>
        <w:t>which</w:t>
      </w:r>
      <w:r w:rsidR="00500DC5">
        <w:rPr>
          <w:sz w:val="28"/>
          <w:szCs w:val="28"/>
        </w:rPr>
        <w:t>,</w:t>
      </w:r>
      <w:r w:rsidR="00E47251">
        <w:rPr>
          <w:sz w:val="28"/>
          <w:szCs w:val="28"/>
        </w:rPr>
        <w:t xml:space="preserve"> unlike the mean</w:t>
      </w:r>
      <w:r w:rsidR="00500DC5">
        <w:rPr>
          <w:sz w:val="28"/>
          <w:szCs w:val="28"/>
        </w:rPr>
        <w:t>,</w:t>
      </w:r>
      <w:r w:rsidR="00E47251">
        <w:rPr>
          <w:sz w:val="28"/>
          <w:szCs w:val="28"/>
        </w:rPr>
        <w:t xml:space="preserve"> is not affected by skew</w:t>
      </w:r>
      <w:r w:rsidR="006673BB">
        <w:rPr>
          <w:sz w:val="28"/>
          <w:szCs w:val="28"/>
        </w:rPr>
        <w:t>.</w:t>
      </w:r>
      <w:r w:rsidR="00387ACF">
        <w:rPr>
          <w:sz w:val="28"/>
          <w:szCs w:val="28"/>
        </w:rPr>
        <w:t xml:space="preserve"> </w:t>
      </w:r>
      <w:r w:rsidR="00E00C83">
        <w:rPr>
          <w:sz w:val="28"/>
          <w:szCs w:val="28"/>
        </w:rPr>
        <w:t xml:space="preserve">By looking at the median in conjunction with the mean we can get a better sense of the central tendency of our data set. </w:t>
      </w:r>
      <w:r w:rsidR="00911CD3">
        <w:rPr>
          <w:sz w:val="28"/>
          <w:szCs w:val="28"/>
        </w:rPr>
        <w:t xml:space="preserve">Our median value is </w:t>
      </w:r>
      <w:r w:rsidR="00911CD3" w:rsidRPr="00AA6730">
        <w:rPr>
          <w:b/>
          <w:bCs/>
          <w:i/>
          <w:iCs/>
          <w:sz w:val="28"/>
          <w:szCs w:val="28"/>
        </w:rPr>
        <w:t>13.88</w:t>
      </w:r>
      <w:r w:rsidR="00911CD3">
        <w:rPr>
          <w:sz w:val="28"/>
          <w:szCs w:val="28"/>
        </w:rPr>
        <w:t xml:space="preserve"> which, as expected, is lower than our mean value. </w:t>
      </w:r>
      <w:r w:rsidR="0008136E">
        <w:rPr>
          <w:sz w:val="28"/>
          <w:szCs w:val="28"/>
        </w:rPr>
        <w:t>When a data set is skewed</w:t>
      </w:r>
      <w:r w:rsidR="00CD27DD">
        <w:rPr>
          <w:sz w:val="28"/>
          <w:szCs w:val="28"/>
        </w:rPr>
        <w:t>,</w:t>
      </w:r>
      <w:r w:rsidR="003464ED">
        <w:rPr>
          <w:sz w:val="28"/>
          <w:szCs w:val="28"/>
        </w:rPr>
        <w:t xml:space="preserve"> </w:t>
      </w:r>
      <w:r w:rsidR="0008136E">
        <w:rPr>
          <w:sz w:val="28"/>
          <w:szCs w:val="28"/>
        </w:rPr>
        <w:t xml:space="preserve">the median </w:t>
      </w:r>
      <w:r w:rsidR="00DF72F3">
        <w:rPr>
          <w:sz w:val="28"/>
          <w:szCs w:val="28"/>
        </w:rPr>
        <w:t xml:space="preserve">does a better job </w:t>
      </w:r>
      <w:r w:rsidR="00F47DE9">
        <w:rPr>
          <w:sz w:val="28"/>
          <w:szCs w:val="28"/>
        </w:rPr>
        <w:t>than the mean at</w:t>
      </w:r>
      <w:r w:rsidR="00DF72F3">
        <w:rPr>
          <w:sz w:val="28"/>
          <w:szCs w:val="28"/>
        </w:rPr>
        <w:t xml:space="preserve"> capturing a</w:t>
      </w:r>
      <w:r w:rsidR="0008136E">
        <w:rPr>
          <w:sz w:val="28"/>
          <w:szCs w:val="28"/>
        </w:rPr>
        <w:t xml:space="preserve"> more accurate/representative </w:t>
      </w:r>
      <w:r w:rsidR="00AA3629">
        <w:rPr>
          <w:sz w:val="28"/>
          <w:szCs w:val="28"/>
        </w:rPr>
        <w:t>estimate</w:t>
      </w:r>
      <w:r w:rsidR="0008136E">
        <w:rPr>
          <w:sz w:val="28"/>
          <w:szCs w:val="28"/>
        </w:rPr>
        <w:t xml:space="preserve"> </w:t>
      </w:r>
      <w:r w:rsidR="003221EE">
        <w:rPr>
          <w:sz w:val="28"/>
          <w:szCs w:val="28"/>
        </w:rPr>
        <w:t>of</w:t>
      </w:r>
      <w:r w:rsidR="00CA15AB">
        <w:rPr>
          <w:sz w:val="28"/>
          <w:szCs w:val="28"/>
        </w:rPr>
        <w:t xml:space="preserve"> center.</w:t>
      </w:r>
      <w:r w:rsidR="003221EE">
        <w:rPr>
          <w:sz w:val="28"/>
          <w:szCs w:val="28"/>
        </w:rPr>
        <w:t xml:space="preserve"> </w:t>
      </w:r>
      <w:r w:rsidR="00661ED7">
        <w:rPr>
          <w:sz w:val="28"/>
          <w:szCs w:val="28"/>
        </w:rPr>
        <w:t xml:space="preserve">This is </w:t>
      </w:r>
      <w:r w:rsidR="008405D4">
        <w:rPr>
          <w:sz w:val="28"/>
          <w:szCs w:val="28"/>
        </w:rPr>
        <w:t>because</w:t>
      </w:r>
      <w:r w:rsidR="00661ED7">
        <w:rPr>
          <w:sz w:val="28"/>
          <w:szCs w:val="28"/>
        </w:rPr>
        <w:t xml:space="preserve"> </w:t>
      </w:r>
      <w:r w:rsidR="00B93198">
        <w:rPr>
          <w:sz w:val="28"/>
          <w:szCs w:val="28"/>
        </w:rPr>
        <w:t xml:space="preserve">the mean can be </w:t>
      </w:r>
      <w:r w:rsidR="00DE59F7">
        <w:rPr>
          <w:sz w:val="28"/>
          <w:szCs w:val="28"/>
        </w:rPr>
        <w:t>“</w:t>
      </w:r>
      <w:r w:rsidR="00B93198">
        <w:rPr>
          <w:sz w:val="28"/>
          <w:szCs w:val="28"/>
        </w:rPr>
        <w:t>pulled</w:t>
      </w:r>
      <w:r w:rsidR="00DE59F7">
        <w:rPr>
          <w:sz w:val="28"/>
          <w:szCs w:val="28"/>
        </w:rPr>
        <w:t>”</w:t>
      </w:r>
      <w:r w:rsidR="00B93198">
        <w:rPr>
          <w:sz w:val="28"/>
          <w:szCs w:val="28"/>
        </w:rPr>
        <w:t xml:space="preserve"> by extreme values in either </w:t>
      </w:r>
      <w:r w:rsidR="00C07ADF">
        <w:rPr>
          <w:sz w:val="28"/>
          <w:szCs w:val="28"/>
        </w:rPr>
        <w:t>tail</w:t>
      </w:r>
      <w:r w:rsidR="00B93198">
        <w:rPr>
          <w:sz w:val="28"/>
          <w:szCs w:val="28"/>
        </w:rPr>
        <w:t xml:space="preserve">. </w:t>
      </w:r>
      <w:r w:rsidR="001F5D65">
        <w:rPr>
          <w:sz w:val="28"/>
          <w:szCs w:val="28"/>
        </w:rPr>
        <w:t xml:space="preserve">So, </w:t>
      </w:r>
      <w:r w:rsidR="00DF5D5B">
        <w:rPr>
          <w:sz w:val="28"/>
          <w:szCs w:val="28"/>
        </w:rPr>
        <w:t xml:space="preserve">when we compare </w:t>
      </w:r>
      <w:r w:rsidR="00DE785A">
        <w:rPr>
          <w:sz w:val="28"/>
          <w:szCs w:val="28"/>
        </w:rPr>
        <w:t>the mean to the median</w:t>
      </w:r>
      <w:r w:rsidR="0000015C">
        <w:rPr>
          <w:sz w:val="28"/>
          <w:szCs w:val="28"/>
        </w:rPr>
        <w:t>,</w:t>
      </w:r>
      <w:r w:rsidR="00DE785A">
        <w:rPr>
          <w:sz w:val="28"/>
          <w:szCs w:val="28"/>
        </w:rPr>
        <w:t xml:space="preserve"> not only do </w:t>
      </w:r>
      <w:r w:rsidR="007D1AD5">
        <w:rPr>
          <w:sz w:val="28"/>
          <w:szCs w:val="28"/>
        </w:rPr>
        <w:t xml:space="preserve">we </w:t>
      </w:r>
      <w:r w:rsidR="00692379">
        <w:rPr>
          <w:sz w:val="28"/>
          <w:szCs w:val="28"/>
        </w:rPr>
        <w:t xml:space="preserve">get a better </w:t>
      </w:r>
      <w:r w:rsidR="009D30E6">
        <w:rPr>
          <w:sz w:val="28"/>
          <w:szCs w:val="28"/>
        </w:rPr>
        <w:t>idea of</w:t>
      </w:r>
      <w:r w:rsidR="007D1AD5">
        <w:rPr>
          <w:sz w:val="28"/>
          <w:szCs w:val="28"/>
        </w:rPr>
        <w:t xml:space="preserve"> </w:t>
      </w:r>
      <w:r w:rsidR="001A383B">
        <w:rPr>
          <w:sz w:val="28"/>
          <w:szCs w:val="28"/>
        </w:rPr>
        <w:t xml:space="preserve">what </w:t>
      </w:r>
      <w:r w:rsidR="00F873A4">
        <w:rPr>
          <w:sz w:val="28"/>
          <w:szCs w:val="28"/>
        </w:rPr>
        <w:t>the typical value</w:t>
      </w:r>
      <w:r w:rsidR="001A383B">
        <w:rPr>
          <w:sz w:val="28"/>
          <w:szCs w:val="28"/>
        </w:rPr>
        <w:t xml:space="preserve"> </w:t>
      </w:r>
      <w:r w:rsidR="00F873A4">
        <w:rPr>
          <w:sz w:val="28"/>
          <w:szCs w:val="28"/>
        </w:rPr>
        <w:t>in our data set</w:t>
      </w:r>
      <w:r w:rsidR="00354E8B">
        <w:rPr>
          <w:sz w:val="28"/>
          <w:szCs w:val="28"/>
        </w:rPr>
        <w:t xml:space="preserve"> is</w:t>
      </w:r>
      <w:r w:rsidR="00CF5F69">
        <w:rPr>
          <w:sz w:val="28"/>
          <w:szCs w:val="28"/>
        </w:rPr>
        <w:t>,</w:t>
      </w:r>
      <w:r w:rsidR="00820CBB">
        <w:rPr>
          <w:sz w:val="28"/>
          <w:szCs w:val="28"/>
        </w:rPr>
        <w:t xml:space="preserve"> but </w:t>
      </w:r>
      <w:r w:rsidR="00F873A4">
        <w:rPr>
          <w:sz w:val="28"/>
          <w:szCs w:val="28"/>
        </w:rPr>
        <w:t>we also</w:t>
      </w:r>
      <w:r w:rsidR="00DE785A">
        <w:rPr>
          <w:sz w:val="28"/>
          <w:szCs w:val="28"/>
        </w:rPr>
        <w:t xml:space="preserve"> </w:t>
      </w:r>
      <w:r w:rsidR="005F5378">
        <w:rPr>
          <w:sz w:val="28"/>
          <w:szCs w:val="28"/>
        </w:rPr>
        <w:t>get a</w:t>
      </w:r>
      <w:r w:rsidR="00AD2A5E">
        <w:rPr>
          <w:sz w:val="28"/>
          <w:szCs w:val="28"/>
        </w:rPr>
        <w:t>n idea of by just how much</w:t>
      </w:r>
      <w:r w:rsidR="00C07ADF">
        <w:rPr>
          <w:sz w:val="28"/>
          <w:szCs w:val="28"/>
        </w:rPr>
        <w:t xml:space="preserve"> the</w:t>
      </w:r>
      <w:r w:rsidR="00AD2A5E">
        <w:rPr>
          <w:sz w:val="28"/>
          <w:szCs w:val="28"/>
        </w:rPr>
        <w:t xml:space="preserve"> mean </w:t>
      </w:r>
      <w:r w:rsidR="000F2737">
        <w:rPr>
          <w:sz w:val="28"/>
          <w:szCs w:val="28"/>
        </w:rPr>
        <w:t>is being pulle</w:t>
      </w:r>
      <w:r w:rsidR="00FD4821">
        <w:rPr>
          <w:sz w:val="28"/>
          <w:szCs w:val="28"/>
        </w:rPr>
        <w:t>d</w:t>
      </w:r>
      <w:r w:rsidR="00BE50DF">
        <w:rPr>
          <w:sz w:val="28"/>
          <w:szCs w:val="28"/>
        </w:rPr>
        <w:t xml:space="preserve"> and</w:t>
      </w:r>
      <w:r w:rsidR="00437486">
        <w:rPr>
          <w:sz w:val="28"/>
          <w:szCs w:val="28"/>
        </w:rPr>
        <w:t>,</w:t>
      </w:r>
      <w:r w:rsidR="00BE50DF">
        <w:rPr>
          <w:sz w:val="28"/>
          <w:szCs w:val="28"/>
        </w:rPr>
        <w:t xml:space="preserve"> as a result, </w:t>
      </w:r>
      <w:r w:rsidR="006E5E08">
        <w:rPr>
          <w:sz w:val="28"/>
          <w:szCs w:val="28"/>
        </w:rPr>
        <w:t xml:space="preserve">what direction </w:t>
      </w:r>
      <w:r w:rsidR="00437486">
        <w:rPr>
          <w:sz w:val="28"/>
          <w:szCs w:val="28"/>
        </w:rPr>
        <w:t>the</w:t>
      </w:r>
      <w:r w:rsidR="006E5E08">
        <w:rPr>
          <w:sz w:val="28"/>
          <w:szCs w:val="28"/>
        </w:rPr>
        <w:t xml:space="preserve"> </w:t>
      </w:r>
      <w:r w:rsidR="008405D4">
        <w:rPr>
          <w:sz w:val="28"/>
          <w:szCs w:val="28"/>
        </w:rPr>
        <w:t>distribution is skewed</w:t>
      </w:r>
      <w:r w:rsidR="00A363EA">
        <w:rPr>
          <w:sz w:val="28"/>
          <w:szCs w:val="28"/>
        </w:rPr>
        <w:t>.</w:t>
      </w:r>
      <w:r w:rsidR="00B3060C">
        <w:rPr>
          <w:sz w:val="28"/>
          <w:szCs w:val="28"/>
        </w:rPr>
        <w:t xml:space="preserve"> </w:t>
      </w:r>
    </w:p>
    <w:p w14:paraId="378E7282" w14:textId="74B0AD1E" w:rsidR="00B17882" w:rsidRDefault="00B17882" w:rsidP="00B17882">
      <w:pPr>
        <w:jc w:val="center"/>
        <w:rPr>
          <w:sz w:val="28"/>
          <w:szCs w:val="28"/>
        </w:rPr>
      </w:pPr>
      <w:r>
        <w:rPr>
          <w:noProof/>
        </w:rPr>
        <mc:AlternateContent>
          <mc:Choice Requires="cx1">
            <w:drawing>
              <wp:inline distT="0" distB="0" distL="0" distR="0" wp14:anchorId="38EE4F8F" wp14:editId="159B73F7">
                <wp:extent cx="4572000" cy="2743200"/>
                <wp:effectExtent l="0" t="0" r="0" b="0"/>
                <wp:docPr id="5" name="Chart 5">
                  <a:extLst xmlns:a="http://schemas.openxmlformats.org/drawingml/2006/main">
                    <a:ext uri="{FF2B5EF4-FFF2-40B4-BE49-F238E27FC236}">
                      <a16:creationId xmlns:a16="http://schemas.microsoft.com/office/drawing/2014/main" id="{81F9F0EC-B818-46CC-908D-E8CA2214BD5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38EE4F8F" wp14:editId="159B73F7">
                <wp:extent cx="4572000" cy="2743200"/>
                <wp:effectExtent l="0" t="0" r="0" b="0"/>
                <wp:docPr id="5" name="Chart 5">
                  <a:extLst xmlns:a="http://schemas.openxmlformats.org/drawingml/2006/main">
                    <a:ext uri="{FF2B5EF4-FFF2-40B4-BE49-F238E27FC236}">
                      <a16:creationId xmlns:a16="http://schemas.microsoft.com/office/drawing/2014/main" id="{81F9F0EC-B818-46CC-908D-E8CA2214BD5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81F9F0EC-B818-46CC-908D-E8CA2214BD53}"/>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572000" cy="2743200"/>
                        </a:xfrm>
                        <a:prstGeom prst="rect">
                          <a:avLst/>
                        </a:prstGeom>
                      </pic:spPr>
                    </pic:pic>
                  </a:graphicData>
                </a:graphic>
              </wp:inline>
            </w:drawing>
          </mc:Fallback>
        </mc:AlternateContent>
      </w:r>
    </w:p>
    <w:p w14:paraId="2B12AD7D" w14:textId="0E19843E" w:rsidR="0030358A" w:rsidRDefault="00013251" w:rsidP="00A16B82">
      <w:pPr>
        <w:rPr>
          <w:sz w:val="28"/>
          <w:szCs w:val="28"/>
        </w:rPr>
      </w:pPr>
      <w:r>
        <w:rPr>
          <w:sz w:val="28"/>
          <w:szCs w:val="28"/>
        </w:rPr>
        <w:t xml:space="preserve">Our results are somewhat surprising. Seeing as a customer who has been with the bank for many years prior would likely have had many opportunities in the past to apply for a credit card, one might assume that if they hadn’t gotten one </w:t>
      </w:r>
      <w:r w:rsidR="004673D1">
        <w:rPr>
          <w:sz w:val="28"/>
          <w:szCs w:val="28"/>
        </w:rPr>
        <w:t xml:space="preserve">up </w:t>
      </w:r>
      <w:r>
        <w:rPr>
          <w:sz w:val="28"/>
          <w:szCs w:val="28"/>
        </w:rPr>
        <w:t>until</w:t>
      </w:r>
      <w:r w:rsidR="00AE1F21">
        <w:rPr>
          <w:sz w:val="28"/>
          <w:szCs w:val="28"/>
        </w:rPr>
        <w:t xml:space="preserve"> this point</w:t>
      </w:r>
      <w:r>
        <w:rPr>
          <w:sz w:val="28"/>
          <w:szCs w:val="28"/>
        </w:rPr>
        <w:t>, they likely don’t want one. However, it appears this is not the case.</w:t>
      </w:r>
      <w:r w:rsidR="00857D75">
        <w:rPr>
          <w:sz w:val="28"/>
          <w:szCs w:val="28"/>
        </w:rPr>
        <w:t xml:space="preserve"> </w:t>
      </w:r>
      <w:r w:rsidR="00D37B31">
        <w:rPr>
          <w:sz w:val="28"/>
          <w:szCs w:val="28"/>
        </w:rPr>
        <w:t>Looking at the</w:t>
      </w:r>
      <w:r w:rsidR="00F262AC">
        <w:rPr>
          <w:sz w:val="28"/>
          <w:szCs w:val="28"/>
        </w:rPr>
        <w:t xml:space="preserve"> </w:t>
      </w:r>
      <w:r w:rsidR="00A43885">
        <w:rPr>
          <w:sz w:val="28"/>
          <w:szCs w:val="28"/>
        </w:rPr>
        <w:t xml:space="preserve">pie </w:t>
      </w:r>
      <w:r w:rsidR="00D37B31">
        <w:rPr>
          <w:sz w:val="28"/>
          <w:szCs w:val="28"/>
        </w:rPr>
        <w:t>chart</w:t>
      </w:r>
      <w:r w:rsidR="00A43885">
        <w:rPr>
          <w:sz w:val="28"/>
          <w:szCs w:val="28"/>
        </w:rPr>
        <w:t xml:space="preserve"> below</w:t>
      </w:r>
      <w:r w:rsidR="00D37B31">
        <w:rPr>
          <w:sz w:val="28"/>
          <w:szCs w:val="28"/>
        </w:rPr>
        <w:t>, w</w:t>
      </w:r>
      <w:r w:rsidR="00857D75">
        <w:rPr>
          <w:sz w:val="28"/>
          <w:szCs w:val="28"/>
        </w:rPr>
        <w:t>hile we see a decent number of sales coming from our lower tenure groups, (</w:t>
      </w:r>
      <w:r w:rsidR="00857D75" w:rsidRPr="0048706A">
        <w:rPr>
          <w:b/>
          <w:bCs/>
          <w:i/>
          <w:iCs/>
          <w:sz w:val="28"/>
          <w:szCs w:val="28"/>
        </w:rPr>
        <w:t>25%</w:t>
      </w:r>
      <w:r w:rsidR="00857D75">
        <w:rPr>
          <w:sz w:val="28"/>
          <w:szCs w:val="28"/>
        </w:rPr>
        <w:t xml:space="preserve"> coming our customers in the less than 1- and 1-5-year groups) we also see a much larger amount coming from our customers in the longer tenured groups (</w:t>
      </w:r>
      <w:r w:rsidR="00857D75" w:rsidRPr="00FF37E2">
        <w:rPr>
          <w:b/>
          <w:bCs/>
          <w:i/>
          <w:iCs/>
          <w:sz w:val="28"/>
          <w:szCs w:val="28"/>
        </w:rPr>
        <w:t>59%</w:t>
      </w:r>
      <w:r w:rsidR="00857D75">
        <w:rPr>
          <w:sz w:val="28"/>
          <w:szCs w:val="28"/>
        </w:rPr>
        <w:t xml:space="preserve"> from 6 to 30 and </w:t>
      </w:r>
      <w:r w:rsidR="00857D75" w:rsidRPr="00FF37E2">
        <w:rPr>
          <w:b/>
          <w:bCs/>
          <w:i/>
          <w:iCs/>
          <w:sz w:val="28"/>
          <w:szCs w:val="28"/>
        </w:rPr>
        <w:t>17%</w:t>
      </w:r>
      <w:r w:rsidR="00857D75">
        <w:rPr>
          <w:sz w:val="28"/>
          <w:szCs w:val="28"/>
        </w:rPr>
        <w:t xml:space="preserve"> from 31 to 50+). This includes a single category leading </w:t>
      </w:r>
      <w:r w:rsidR="00857D75" w:rsidRPr="00E675CC">
        <w:rPr>
          <w:b/>
          <w:bCs/>
          <w:i/>
          <w:iCs/>
          <w:sz w:val="28"/>
          <w:szCs w:val="28"/>
        </w:rPr>
        <w:t>25%</w:t>
      </w:r>
      <w:r w:rsidR="00857D75">
        <w:rPr>
          <w:sz w:val="28"/>
          <w:szCs w:val="28"/>
        </w:rPr>
        <w:t xml:space="preserve"> from the 11-20 group. So, while newer </w:t>
      </w:r>
      <w:r w:rsidR="00857D75">
        <w:rPr>
          <w:sz w:val="28"/>
          <w:szCs w:val="28"/>
        </w:rPr>
        <w:lastRenderedPageBreak/>
        <w:t>customers certainly do apply, it seems that being with the bank for several years prior has a negligible effect on a customer’s decisions to apply.</w:t>
      </w:r>
    </w:p>
    <w:p w14:paraId="006C620E" w14:textId="3280BF2F" w:rsidR="00C81A04" w:rsidRDefault="00C81A04" w:rsidP="00C81A04">
      <w:pPr>
        <w:jc w:val="center"/>
        <w:rPr>
          <w:sz w:val="28"/>
          <w:szCs w:val="28"/>
        </w:rPr>
      </w:pPr>
      <w:r>
        <w:rPr>
          <w:noProof/>
        </w:rPr>
        <w:drawing>
          <wp:inline distT="0" distB="0" distL="0" distR="0" wp14:anchorId="10333556" wp14:editId="08C4CA8C">
            <wp:extent cx="4572000" cy="2743200"/>
            <wp:effectExtent l="0" t="0" r="0" b="0"/>
            <wp:docPr id="2" name="Chart 2">
              <a:extLst xmlns:a="http://schemas.openxmlformats.org/drawingml/2006/main">
                <a:ext uri="{FF2B5EF4-FFF2-40B4-BE49-F238E27FC236}">
                  <a16:creationId xmlns:a16="http://schemas.microsoft.com/office/drawing/2014/main" id="{E6A039A0-DA4E-4BE6-B2AB-3C2523B47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39B8B3" w14:textId="0E43B9F1" w:rsidR="008323CA" w:rsidRDefault="00613411" w:rsidP="008323CA">
      <w:pPr>
        <w:rPr>
          <w:sz w:val="28"/>
          <w:szCs w:val="28"/>
        </w:rPr>
      </w:pPr>
      <w:r>
        <w:rPr>
          <w:sz w:val="28"/>
          <w:szCs w:val="28"/>
        </w:rPr>
        <w:t xml:space="preserve">Earlier we stated that we were surprised </w:t>
      </w:r>
      <w:r w:rsidR="00B563EC">
        <w:rPr>
          <w:sz w:val="28"/>
          <w:szCs w:val="28"/>
        </w:rPr>
        <w:t xml:space="preserve">by the </w:t>
      </w:r>
      <w:r w:rsidR="004D40AF">
        <w:rPr>
          <w:sz w:val="28"/>
          <w:szCs w:val="28"/>
        </w:rPr>
        <w:t>number</w:t>
      </w:r>
      <w:r w:rsidR="00B563EC">
        <w:rPr>
          <w:sz w:val="28"/>
          <w:szCs w:val="28"/>
        </w:rPr>
        <w:t xml:space="preserve"> of customers </w:t>
      </w:r>
      <w:r w:rsidR="00C45E49">
        <w:rPr>
          <w:sz w:val="28"/>
          <w:szCs w:val="28"/>
        </w:rPr>
        <w:t xml:space="preserve">who had been with the bank for years </w:t>
      </w:r>
      <w:r w:rsidR="00A27C4D">
        <w:rPr>
          <w:sz w:val="28"/>
          <w:szCs w:val="28"/>
        </w:rPr>
        <w:t xml:space="preserve">prior to applying. Let’s see if this </w:t>
      </w:r>
      <w:r w:rsidR="007C0254">
        <w:rPr>
          <w:sz w:val="28"/>
          <w:szCs w:val="28"/>
        </w:rPr>
        <w:t xml:space="preserve">is </w:t>
      </w:r>
      <w:r w:rsidR="00A27C4D">
        <w:rPr>
          <w:sz w:val="28"/>
          <w:szCs w:val="28"/>
        </w:rPr>
        <w:t xml:space="preserve">in fact </w:t>
      </w:r>
      <w:r w:rsidR="00F53ECA">
        <w:rPr>
          <w:sz w:val="28"/>
          <w:szCs w:val="28"/>
        </w:rPr>
        <w:t xml:space="preserve">normal. </w:t>
      </w:r>
      <w:r w:rsidR="00B8247E">
        <w:rPr>
          <w:sz w:val="28"/>
          <w:szCs w:val="28"/>
        </w:rPr>
        <w:t xml:space="preserve">We will classify a “new” customer as a customer who has been with the bank for </w:t>
      </w:r>
      <w:r w:rsidR="0001450E">
        <w:rPr>
          <w:sz w:val="28"/>
          <w:szCs w:val="28"/>
        </w:rPr>
        <w:t>a maximum of</w:t>
      </w:r>
      <w:r w:rsidR="0028122D">
        <w:rPr>
          <w:sz w:val="28"/>
          <w:szCs w:val="28"/>
        </w:rPr>
        <w:t xml:space="preserve"> 5 years. </w:t>
      </w:r>
      <w:r w:rsidR="0001657D">
        <w:rPr>
          <w:sz w:val="28"/>
          <w:szCs w:val="28"/>
        </w:rPr>
        <w:t>Giving us the following hypotheses:</w:t>
      </w:r>
    </w:p>
    <w:p w14:paraId="4FB5085F" w14:textId="6E02268D" w:rsidR="00F53ECA" w:rsidRPr="00BD4441" w:rsidRDefault="00F53ECA" w:rsidP="00F53ECA">
      <w:pPr>
        <w:jc w:val="center"/>
        <w:rPr>
          <w:sz w:val="28"/>
          <w:szCs w:val="28"/>
        </w:rPr>
      </w:pPr>
      <w:r w:rsidRPr="00BD4441">
        <w:rPr>
          <w:sz w:val="28"/>
          <w:szCs w:val="28"/>
        </w:rPr>
        <w:t>H</w:t>
      </w:r>
      <w:r w:rsidRPr="00BD4441">
        <w:rPr>
          <w:sz w:val="28"/>
          <w:szCs w:val="28"/>
          <w:vertAlign w:val="subscript"/>
        </w:rPr>
        <w:t>0</w:t>
      </w:r>
      <w:r w:rsidRPr="00BD4441">
        <w:rPr>
          <w:sz w:val="28"/>
          <w:szCs w:val="28"/>
        </w:rPr>
        <w:t xml:space="preserve">: </w:t>
      </w:r>
      <w:r w:rsidRPr="00BD4441">
        <w:rPr>
          <w:rFonts w:cstheme="minorHAnsi"/>
          <w:sz w:val="28"/>
          <w:szCs w:val="28"/>
        </w:rPr>
        <w:t>µ</w:t>
      </w:r>
      <w:r w:rsidRPr="00BD4441">
        <w:rPr>
          <w:sz w:val="28"/>
          <w:szCs w:val="28"/>
        </w:rPr>
        <w:t xml:space="preserve"> </w:t>
      </w:r>
      <w:r w:rsidRPr="00BD4441">
        <w:rPr>
          <w:rFonts w:cstheme="minorHAnsi"/>
          <w:sz w:val="28"/>
          <w:szCs w:val="28"/>
        </w:rPr>
        <w:t>≤</w:t>
      </w:r>
      <w:r w:rsidRPr="00BD4441">
        <w:rPr>
          <w:sz w:val="28"/>
          <w:szCs w:val="28"/>
        </w:rPr>
        <w:t xml:space="preserve"> </w:t>
      </w:r>
      <w:r w:rsidR="0001657D">
        <w:rPr>
          <w:sz w:val="28"/>
          <w:szCs w:val="28"/>
        </w:rPr>
        <w:t>5</w:t>
      </w:r>
    </w:p>
    <w:p w14:paraId="30372C8E" w14:textId="1A5EAF4E" w:rsidR="00F53ECA" w:rsidRDefault="00F53ECA" w:rsidP="00DD4DB9">
      <w:pPr>
        <w:jc w:val="center"/>
        <w:rPr>
          <w:sz w:val="28"/>
          <w:szCs w:val="28"/>
        </w:rPr>
      </w:pPr>
      <w:r w:rsidRPr="00BD4441">
        <w:rPr>
          <w:sz w:val="28"/>
          <w:szCs w:val="28"/>
        </w:rPr>
        <w:t>H</w:t>
      </w:r>
      <w:r w:rsidRPr="00BD4441">
        <w:rPr>
          <w:sz w:val="28"/>
          <w:szCs w:val="28"/>
          <w:vertAlign w:val="subscript"/>
        </w:rPr>
        <w:t>a</w:t>
      </w:r>
      <w:r w:rsidRPr="00BD4441">
        <w:rPr>
          <w:sz w:val="28"/>
          <w:szCs w:val="28"/>
        </w:rPr>
        <w:t xml:space="preserve">: </w:t>
      </w:r>
      <w:r w:rsidRPr="00BD4441">
        <w:rPr>
          <w:rFonts w:cstheme="minorHAnsi"/>
          <w:sz w:val="28"/>
          <w:szCs w:val="28"/>
        </w:rPr>
        <w:t>µ</w:t>
      </w:r>
      <w:r w:rsidRPr="00BD4441">
        <w:rPr>
          <w:sz w:val="28"/>
          <w:szCs w:val="28"/>
        </w:rPr>
        <w:t xml:space="preserve"> &gt; </w:t>
      </w:r>
      <w:r w:rsidR="0001657D">
        <w:rPr>
          <w:sz w:val="28"/>
          <w:szCs w:val="28"/>
        </w:rPr>
        <w:t>5</w:t>
      </w:r>
    </w:p>
    <w:p w14:paraId="36934316" w14:textId="7F742860" w:rsidR="000C2B99" w:rsidRDefault="00DD4DB9" w:rsidP="00DD4DB9">
      <w:pPr>
        <w:rPr>
          <w:sz w:val="28"/>
          <w:szCs w:val="28"/>
        </w:rPr>
      </w:pPr>
      <w:r>
        <w:rPr>
          <w:sz w:val="28"/>
          <w:szCs w:val="28"/>
        </w:rPr>
        <w:t xml:space="preserve">In our null hypothesis we are testing if the population average is </w:t>
      </w:r>
      <w:r w:rsidR="00190CAA">
        <w:rPr>
          <w:sz w:val="28"/>
          <w:szCs w:val="28"/>
        </w:rPr>
        <w:t xml:space="preserve">less than or equal to 5 </w:t>
      </w:r>
      <w:r w:rsidR="00D27A74">
        <w:rPr>
          <w:sz w:val="28"/>
          <w:szCs w:val="28"/>
        </w:rPr>
        <w:t xml:space="preserve">years </w:t>
      </w:r>
      <w:r w:rsidR="00190CAA">
        <w:rPr>
          <w:sz w:val="28"/>
          <w:szCs w:val="28"/>
        </w:rPr>
        <w:t>and in our alternative hypothesis we are testing if the population mean is greater than 5</w:t>
      </w:r>
      <w:r w:rsidR="00D27A74">
        <w:rPr>
          <w:sz w:val="28"/>
          <w:szCs w:val="28"/>
        </w:rPr>
        <w:t xml:space="preserve"> years</w:t>
      </w:r>
      <w:r w:rsidR="00190CAA">
        <w:rPr>
          <w:sz w:val="28"/>
          <w:szCs w:val="28"/>
        </w:rPr>
        <w:t xml:space="preserve">. </w:t>
      </w:r>
      <w:r w:rsidR="0087646A">
        <w:rPr>
          <w:sz w:val="28"/>
          <w:szCs w:val="28"/>
        </w:rPr>
        <w:t xml:space="preserve">Once again, we will test at the </w:t>
      </w:r>
      <w:r w:rsidR="0087646A" w:rsidRPr="0087646A">
        <w:rPr>
          <w:b/>
          <w:bCs/>
          <w:i/>
          <w:iCs/>
          <w:sz w:val="28"/>
          <w:szCs w:val="28"/>
        </w:rPr>
        <w:t>5% significance level</w:t>
      </w:r>
      <w:r w:rsidR="0087646A">
        <w:rPr>
          <w:sz w:val="28"/>
          <w:szCs w:val="28"/>
        </w:rPr>
        <w:t>.</w:t>
      </w:r>
      <w:r w:rsidR="008C6E6A">
        <w:rPr>
          <w:sz w:val="28"/>
          <w:szCs w:val="28"/>
        </w:rPr>
        <w:t xml:space="preserve"> We get the following </w:t>
      </w:r>
      <w:r w:rsidR="00CA5A73">
        <w:rPr>
          <w:sz w:val="28"/>
          <w:szCs w:val="28"/>
        </w:rPr>
        <w:t>results:</w:t>
      </w:r>
    </w:p>
    <w:tbl>
      <w:tblPr>
        <w:tblStyle w:val="PlainTable1"/>
        <w:tblW w:w="0" w:type="auto"/>
        <w:tblLook w:val="0480" w:firstRow="0" w:lastRow="0" w:firstColumn="1" w:lastColumn="0" w:noHBand="0" w:noVBand="1"/>
      </w:tblPr>
      <w:tblGrid>
        <w:gridCol w:w="4675"/>
        <w:gridCol w:w="4675"/>
      </w:tblGrid>
      <w:tr w:rsidR="00E14F23" w:rsidRPr="00347D0A" w14:paraId="789B6CA0" w14:textId="77777777" w:rsidTr="007A0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8AFF0E" w14:textId="77777777" w:rsidR="00E14F23" w:rsidRDefault="00E14F23" w:rsidP="007A07A7">
            <w:pPr>
              <w:jc w:val="center"/>
              <w:rPr>
                <w:sz w:val="28"/>
                <w:szCs w:val="28"/>
              </w:rPr>
            </w:pPr>
            <w:r>
              <w:rPr>
                <w:sz w:val="28"/>
                <w:szCs w:val="28"/>
              </w:rPr>
              <w:t>T-Score / Test Statistic</w:t>
            </w:r>
          </w:p>
        </w:tc>
        <w:tc>
          <w:tcPr>
            <w:tcW w:w="4675" w:type="dxa"/>
          </w:tcPr>
          <w:p w14:paraId="6467AE6D" w14:textId="4D753A22" w:rsidR="00E14F23" w:rsidRPr="00347D0A" w:rsidRDefault="00954EF4" w:rsidP="007A07A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Pr>
                <w:rFonts w:ascii="Calibri" w:hAnsi="Calibri" w:cs="Calibri"/>
                <w:color w:val="000000"/>
                <w:sz w:val="28"/>
                <w:szCs w:val="28"/>
              </w:rPr>
              <w:t>7.07</w:t>
            </w:r>
          </w:p>
        </w:tc>
      </w:tr>
      <w:tr w:rsidR="00E14F23" w:rsidRPr="00347D0A" w14:paraId="30698A12" w14:textId="77777777" w:rsidTr="007A07A7">
        <w:tc>
          <w:tcPr>
            <w:cnfStyle w:val="001000000000" w:firstRow="0" w:lastRow="0" w:firstColumn="1" w:lastColumn="0" w:oddVBand="0" w:evenVBand="0" w:oddHBand="0" w:evenHBand="0" w:firstRowFirstColumn="0" w:firstRowLastColumn="0" w:lastRowFirstColumn="0" w:lastRowLastColumn="0"/>
            <w:tcW w:w="4675" w:type="dxa"/>
          </w:tcPr>
          <w:p w14:paraId="7DA33EF1" w14:textId="77777777" w:rsidR="00E14F23" w:rsidRDefault="00E14F23" w:rsidP="007A07A7">
            <w:pPr>
              <w:jc w:val="center"/>
              <w:rPr>
                <w:sz w:val="28"/>
                <w:szCs w:val="28"/>
              </w:rPr>
            </w:pPr>
            <w:r>
              <w:rPr>
                <w:sz w:val="28"/>
                <w:szCs w:val="28"/>
              </w:rPr>
              <w:t>Critical Value</w:t>
            </w:r>
          </w:p>
        </w:tc>
        <w:tc>
          <w:tcPr>
            <w:tcW w:w="4675" w:type="dxa"/>
          </w:tcPr>
          <w:p w14:paraId="7AB29776" w14:textId="4F437099" w:rsidR="00E14F23" w:rsidRPr="00347D0A" w:rsidRDefault="00256E20" w:rsidP="007A07A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8"/>
                <w:szCs w:val="28"/>
              </w:rPr>
            </w:pPr>
            <w:r>
              <w:rPr>
                <w:rFonts w:ascii="Calibri" w:hAnsi="Calibri" w:cs="Calibri"/>
                <w:color w:val="000000"/>
                <w:sz w:val="28"/>
                <w:szCs w:val="28"/>
              </w:rPr>
              <w:t>1.669</w:t>
            </w:r>
          </w:p>
        </w:tc>
      </w:tr>
      <w:tr w:rsidR="00E14F23" w:rsidRPr="00347D0A" w14:paraId="4F3767D7" w14:textId="77777777" w:rsidTr="007A0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E2A649" w14:textId="77777777" w:rsidR="00E14F23" w:rsidRDefault="00E14F23" w:rsidP="007A07A7">
            <w:pPr>
              <w:jc w:val="center"/>
              <w:rPr>
                <w:sz w:val="28"/>
                <w:szCs w:val="28"/>
              </w:rPr>
            </w:pPr>
            <w:r>
              <w:rPr>
                <w:sz w:val="28"/>
                <w:szCs w:val="28"/>
              </w:rPr>
              <w:t>P-Value</w:t>
            </w:r>
          </w:p>
        </w:tc>
        <w:tc>
          <w:tcPr>
            <w:tcW w:w="4675" w:type="dxa"/>
          </w:tcPr>
          <w:p w14:paraId="21121EE1" w14:textId="631E8478" w:rsidR="00E14F23" w:rsidRPr="00347D0A" w:rsidRDefault="00256E20" w:rsidP="007A07A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8"/>
                <w:szCs w:val="28"/>
              </w:rPr>
            </w:pPr>
            <w:r>
              <w:rPr>
                <w:rFonts w:ascii="Calibri" w:hAnsi="Calibri" w:cs="Calibri"/>
                <w:color w:val="000000"/>
                <w:sz w:val="28"/>
                <w:szCs w:val="28"/>
              </w:rPr>
              <w:t>0.00001</w:t>
            </w:r>
          </w:p>
        </w:tc>
      </w:tr>
    </w:tbl>
    <w:p w14:paraId="77AE4F04" w14:textId="77777777" w:rsidR="005E0643" w:rsidRDefault="005E0643" w:rsidP="00A22DB7">
      <w:pPr>
        <w:rPr>
          <w:sz w:val="28"/>
          <w:szCs w:val="28"/>
        </w:rPr>
      </w:pPr>
    </w:p>
    <w:p w14:paraId="2C8CB650" w14:textId="0571BEB8" w:rsidR="00A22DB7" w:rsidRDefault="00A22DB7" w:rsidP="00A22DB7">
      <w:pPr>
        <w:rPr>
          <w:sz w:val="28"/>
          <w:szCs w:val="28"/>
        </w:rPr>
      </w:pPr>
      <w:r>
        <w:rPr>
          <w:sz w:val="28"/>
          <w:szCs w:val="28"/>
        </w:rPr>
        <w:t xml:space="preserve">Our results are highly significant in favor of the alternative hypothesis. The p-value is the probability of obtaining a test statistic at least as extreme as the result observed. In other words, it is the probability that the data we got </w:t>
      </w:r>
      <w:r w:rsidR="00D1004C">
        <w:rPr>
          <w:sz w:val="28"/>
          <w:szCs w:val="28"/>
        </w:rPr>
        <w:t>c</w:t>
      </w:r>
      <w:r>
        <w:rPr>
          <w:sz w:val="28"/>
          <w:szCs w:val="28"/>
        </w:rPr>
        <w:t xml:space="preserve">ould be observed given that the null hypothesis is true. In our test we got a p-value that is </w:t>
      </w:r>
      <w:r>
        <w:rPr>
          <w:sz w:val="28"/>
          <w:szCs w:val="28"/>
        </w:rPr>
        <w:lastRenderedPageBreak/>
        <w:t xml:space="preserve">near 0. Meaning that it is highly unlikely that our data could have occurred if the null hypothesis were true. With this in mind, we can safely reject the null in favor of the </w:t>
      </w:r>
      <w:r w:rsidR="008C0338">
        <w:rPr>
          <w:sz w:val="28"/>
          <w:szCs w:val="28"/>
        </w:rPr>
        <w:t>alternative</w:t>
      </w:r>
      <w:r>
        <w:rPr>
          <w:sz w:val="28"/>
          <w:szCs w:val="28"/>
        </w:rPr>
        <w:t xml:space="preserve"> hypothesis. </w:t>
      </w:r>
      <w:r w:rsidRPr="00015822">
        <w:rPr>
          <w:b/>
          <w:bCs/>
          <w:i/>
          <w:iCs/>
          <w:sz w:val="28"/>
          <w:szCs w:val="28"/>
        </w:rPr>
        <w:t xml:space="preserve">At the 5% significance level there is no statistical evidence that the population mean </w:t>
      </w:r>
      <w:r w:rsidR="002B4B65" w:rsidRPr="00015822">
        <w:rPr>
          <w:b/>
          <w:bCs/>
          <w:i/>
          <w:iCs/>
          <w:sz w:val="28"/>
          <w:szCs w:val="28"/>
        </w:rPr>
        <w:t>tenure</w:t>
      </w:r>
      <w:r w:rsidRPr="00015822">
        <w:rPr>
          <w:b/>
          <w:bCs/>
          <w:i/>
          <w:iCs/>
          <w:sz w:val="28"/>
          <w:szCs w:val="28"/>
        </w:rPr>
        <w:t xml:space="preserve"> is </w:t>
      </w:r>
      <w:r w:rsidR="002B4B65" w:rsidRPr="00015822">
        <w:rPr>
          <w:b/>
          <w:bCs/>
          <w:i/>
          <w:iCs/>
          <w:sz w:val="28"/>
          <w:szCs w:val="28"/>
        </w:rPr>
        <w:t>less than or equal to 5 years</w:t>
      </w:r>
      <w:r w:rsidRPr="00015822">
        <w:rPr>
          <w:b/>
          <w:bCs/>
          <w:i/>
          <w:iCs/>
          <w:sz w:val="28"/>
          <w:szCs w:val="28"/>
        </w:rPr>
        <w:t>.</w:t>
      </w:r>
      <w:r>
        <w:rPr>
          <w:sz w:val="28"/>
          <w:szCs w:val="28"/>
        </w:rPr>
        <w:t xml:space="preserve"> </w:t>
      </w:r>
      <w:r w:rsidRPr="00015822">
        <w:rPr>
          <w:sz w:val="28"/>
          <w:szCs w:val="28"/>
        </w:rPr>
        <w:t>It appears that our original assumption that</w:t>
      </w:r>
      <w:r w:rsidR="002A5A56" w:rsidRPr="00015822">
        <w:rPr>
          <w:sz w:val="28"/>
          <w:szCs w:val="28"/>
        </w:rPr>
        <w:t xml:space="preserve"> long time</w:t>
      </w:r>
      <w:r w:rsidRPr="00015822">
        <w:rPr>
          <w:sz w:val="28"/>
          <w:szCs w:val="28"/>
        </w:rPr>
        <w:t xml:space="preserve"> customers</w:t>
      </w:r>
      <w:r w:rsidR="002A5A56" w:rsidRPr="00015822">
        <w:rPr>
          <w:sz w:val="28"/>
          <w:szCs w:val="28"/>
        </w:rPr>
        <w:t xml:space="preserve"> do </w:t>
      </w:r>
      <w:r w:rsidR="00A94DC5" w:rsidRPr="00015822">
        <w:rPr>
          <w:sz w:val="28"/>
          <w:szCs w:val="28"/>
        </w:rPr>
        <w:t>not want</w:t>
      </w:r>
      <w:r w:rsidRPr="00015822">
        <w:rPr>
          <w:sz w:val="28"/>
          <w:szCs w:val="28"/>
        </w:rPr>
        <w:t xml:space="preserve"> credit cards </w:t>
      </w:r>
      <w:r w:rsidR="00D1004C" w:rsidRPr="00015822">
        <w:rPr>
          <w:sz w:val="28"/>
          <w:szCs w:val="28"/>
        </w:rPr>
        <w:t>is</w:t>
      </w:r>
      <w:r w:rsidRPr="00015822">
        <w:rPr>
          <w:sz w:val="28"/>
          <w:szCs w:val="28"/>
        </w:rPr>
        <w:t xml:space="preserve"> unsubstantiated. </w:t>
      </w:r>
    </w:p>
    <w:p w14:paraId="7BE0715E" w14:textId="78B7B589" w:rsidR="00FC260C" w:rsidRPr="00D83928" w:rsidRDefault="00454C3C" w:rsidP="00454C3C">
      <w:pPr>
        <w:jc w:val="center"/>
        <w:rPr>
          <w:rFonts w:asciiTheme="majorHAnsi" w:hAnsiTheme="majorHAnsi"/>
          <w:b/>
          <w:bCs/>
          <w:sz w:val="48"/>
          <w:szCs w:val="48"/>
        </w:rPr>
      </w:pPr>
      <w:r w:rsidRPr="00D83928">
        <w:rPr>
          <w:rFonts w:asciiTheme="majorHAnsi" w:hAnsiTheme="majorHAnsi"/>
          <w:b/>
          <w:bCs/>
          <w:sz w:val="48"/>
          <w:szCs w:val="48"/>
        </w:rPr>
        <w:t>Other Miscellaneous Findings</w:t>
      </w:r>
    </w:p>
    <w:p w14:paraId="3ABC32CB" w14:textId="613DB9C9" w:rsidR="00891ACF" w:rsidRPr="00891ACF" w:rsidRDefault="00891ACF" w:rsidP="00891ACF">
      <w:pPr>
        <w:rPr>
          <w:sz w:val="28"/>
          <w:szCs w:val="28"/>
        </w:rPr>
      </w:pPr>
      <w:r>
        <w:rPr>
          <w:sz w:val="28"/>
          <w:szCs w:val="28"/>
        </w:rPr>
        <w:t>Most of our applicants were male, equating to a 60-40 male-female split.</w:t>
      </w:r>
    </w:p>
    <w:p w14:paraId="15B053E4" w14:textId="2B102F88" w:rsidR="00324D45" w:rsidRDefault="00CB1F74" w:rsidP="00324D45">
      <w:pPr>
        <w:jc w:val="center"/>
        <w:rPr>
          <w:sz w:val="28"/>
          <w:szCs w:val="28"/>
        </w:rPr>
      </w:pPr>
      <w:r>
        <w:rPr>
          <w:noProof/>
        </w:rPr>
        <w:drawing>
          <wp:inline distT="0" distB="0" distL="0" distR="0" wp14:anchorId="26FC3DB0" wp14:editId="35D75524">
            <wp:extent cx="4572000" cy="2743200"/>
            <wp:effectExtent l="0" t="0" r="0" b="0"/>
            <wp:docPr id="6" name="Chart 6">
              <a:extLst xmlns:a="http://schemas.openxmlformats.org/drawingml/2006/main">
                <a:ext uri="{FF2B5EF4-FFF2-40B4-BE49-F238E27FC236}">
                  <a16:creationId xmlns:a16="http://schemas.microsoft.com/office/drawing/2014/main" id="{6FDA2AA5-151F-473D-8717-BE2F844F35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5D7E0C" w14:textId="31A8C9E8" w:rsidR="00891ACF" w:rsidRDefault="00891ACF" w:rsidP="00891ACF">
      <w:pPr>
        <w:rPr>
          <w:sz w:val="28"/>
          <w:szCs w:val="28"/>
        </w:rPr>
      </w:pPr>
      <w:r>
        <w:rPr>
          <w:sz w:val="28"/>
          <w:szCs w:val="28"/>
        </w:rPr>
        <w:t>Age and tenure are positively correlated. Given that a customer must age in order to increase their tenure with the bank, this comes as no surprise. Looking at the graph below we see that as age increases</w:t>
      </w:r>
      <w:r w:rsidR="0000246A">
        <w:rPr>
          <w:sz w:val="28"/>
          <w:szCs w:val="28"/>
        </w:rPr>
        <w:t>,</w:t>
      </w:r>
      <w:r>
        <w:rPr>
          <w:sz w:val="28"/>
          <w:szCs w:val="28"/>
        </w:rPr>
        <w:t xml:space="preserve"> so does tenure. When calculating for the correlation coefficient we get positive </w:t>
      </w:r>
      <w:r w:rsidRPr="007940BF">
        <w:rPr>
          <w:b/>
          <w:bCs/>
          <w:i/>
          <w:iCs/>
          <w:sz w:val="28"/>
          <w:szCs w:val="28"/>
        </w:rPr>
        <w:t>0.47</w:t>
      </w:r>
      <w:r>
        <w:rPr>
          <w:sz w:val="28"/>
          <w:szCs w:val="28"/>
        </w:rPr>
        <w:t xml:space="preserve"> relationship. While the positive relationship certainly exists, it is not a very strong one. This is likely due to the fact that a person can establish an account at any age. Therefore, a person could theoretically be in their eighties but only be in their first year with bank.</w:t>
      </w:r>
    </w:p>
    <w:p w14:paraId="38137ADF" w14:textId="77777777" w:rsidR="00891ACF" w:rsidRDefault="00891ACF" w:rsidP="00EF5BC5">
      <w:pPr>
        <w:rPr>
          <w:sz w:val="28"/>
          <w:szCs w:val="28"/>
        </w:rPr>
      </w:pPr>
    </w:p>
    <w:p w14:paraId="6D090648" w14:textId="77777777" w:rsidR="00A82AF7" w:rsidRDefault="00A82AF7" w:rsidP="008049C4">
      <w:pPr>
        <w:rPr>
          <w:sz w:val="28"/>
          <w:szCs w:val="28"/>
        </w:rPr>
      </w:pPr>
    </w:p>
    <w:p w14:paraId="367B1EF6" w14:textId="16366043" w:rsidR="002D016B" w:rsidRDefault="002D016B" w:rsidP="002D016B">
      <w:pPr>
        <w:jc w:val="center"/>
        <w:rPr>
          <w:sz w:val="28"/>
          <w:szCs w:val="28"/>
        </w:rPr>
      </w:pPr>
      <w:r>
        <w:rPr>
          <w:noProof/>
        </w:rPr>
        <w:lastRenderedPageBreak/>
        <w:drawing>
          <wp:inline distT="0" distB="0" distL="0" distR="0" wp14:anchorId="35413A54" wp14:editId="22678761">
            <wp:extent cx="4572000" cy="2743200"/>
            <wp:effectExtent l="0" t="0" r="0" b="0"/>
            <wp:docPr id="3" name="Chart 3">
              <a:extLst xmlns:a="http://schemas.openxmlformats.org/drawingml/2006/main">
                <a:ext uri="{FF2B5EF4-FFF2-40B4-BE49-F238E27FC236}">
                  <a16:creationId xmlns:a16="http://schemas.microsoft.com/office/drawing/2014/main" id="{E55E29E7-354C-4326-B1BF-BE836165D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179ECA" w14:textId="08338AEC" w:rsidR="00634ECF" w:rsidRDefault="00634ECF" w:rsidP="002D016B">
      <w:pPr>
        <w:jc w:val="center"/>
        <w:rPr>
          <w:sz w:val="28"/>
          <w:szCs w:val="28"/>
        </w:rPr>
      </w:pPr>
    </w:p>
    <w:p w14:paraId="3C65238D" w14:textId="53284332" w:rsidR="00634ECF" w:rsidRPr="00B97B6A" w:rsidRDefault="00017526" w:rsidP="00B07DB7">
      <w:pPr>
        <w:jc w:val="center"/>
        <w:rPr>
          <w:sz w:val="28"/>
          <w:szCs w:val="28"/>
        </w:rPr>
      </w:pPr>
      <w:r>
        <w:rPr>
          <w:noProof/>
        </w:rPr>
        <w:drawing>
          <wp:inline distT="0" distB="0" distL="0" distR="0" wp14:anchorId="4AA6C794" wp14:editId="7B43609D">
            <wp:extent cx="4629150" cy="2743200"/>
            <wp:effectExtent l="0" t="0" r="0" b="0"/>
            <wp:docPr id="7" name="Chart 7">
              <a:extLst xmlns:a="http://schemas.openxmlformats.org/drawingml/2006/main">
                <a:ext uri="{FF2B5EF4-FFF2-40B4-BE49-F238E27FC236}">
                  <a16:creationId xmlns:a16="http://schemas.microsoft.com/office/drawing/2014/main" id="{D11F3FE0-12C8-4B95-A255-608F1A54DC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634ECF" w:rsidRPr="00B97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1F4"/>
    <w:rsid w:val="0000015C"/>
    <w:rsid w:val="00000AB0"/>
    <w:rsid w:val="0000169A"/>
    <w:rsid w:val="0000246A"/>
    <w:rsid w:val="00002F5B"/>
    <w:rsid w:val="00004806"/>
    <w:rsid w:val="0000730C"/>
    <w:rsid w:val="00010614"/>
    <w:rsid w:val="00012D0B"/>
    <w:rsid w:val="00013251"/>
    <w:rsid w:val="0001450E"/>
    <w:rsid w:val="00015822"/>
    <w:rsid w:val="0001657D"/>
    <w:rsid w:val="00016C92"/>
    <w:rsid w:val="00017526"/>
    <w:rsid w:val="000227BB"/>
    <w:rsid w:val="00031FC8"/>
    <w:rsid w:val="000372C2"/>
    <w:rsid w:val="000379CC"/>
    <w:rsid w:val="00044A7A"/>
    <w:rsid w:val="00045B24"/>
    <w:rsid w:val="00045D51"/>
    <w:rsid w:val="00047822"/>
    <w:rsid w:val="00053641"/>
    <w:rsid w:val="0006156F"/>
    <w:rsid w:val="00066112"/>
    <w:rsid w:val="000701A8"/>
    <w:rsid w:val="00072DBD"/>
    <w:rsid w:val="0008136E"/>
    <w:rsid w:val="00082658"/>
    <w:rsid w:val="000950B5"/>
    <w:rsid w:val="000A278A"/>
    <w:rsid w:val="000B221C"/>
    <w:rsid w:val="000B3DAA"/>
    <w:rsid w:val="000B4F88"/>
    <w:rsid w:val="000B6F01"/>
    <w:rsid w:val="000B762D"/>
    <w:rsid w:val="000C2890"/>
    <w:rsid w:val="000C2B99"/>
    <w:rsid w:val="000D48BE"/>
    <w:rsid w:val="000E1198"/>
    <w:rsid w:val="000E2E71"/>
    <w:rsid w:val="000E7CFB"/>
    <w:rsid w:val="000F266A"/>
    <w:rsid w:val="000F2737"/>
    <w:rsid w:val="000F3AAE"/>
    <w:rsid w:val="000F4D14"/>
    <w:rsid w:val="000F4E4C"/>
    <w:rsid w:val="00105182"/>
    <w:rsid w:val="001063ED"/>
    <w:rsid w:val="001079E3"/>
    <w:rsid w:val="00116F32"/>
    <w:rsid w:val="00120D07"/>
    <w:rsid w:val="00122904"/>
    <w:rsid w:val="0012292F"/>
    <w:rsid w:val="00132EE5"/>
    <w:rsid w:val="00135B16"/>
    <w:rsid w:val="00144ACD"/>
    <w:rsid w:val="0014545C"/>
    <w:rsid w:val="00145656"/>
    <w:rsid w:val="0014686C"/>
    <w:rsid w:val="0015040F"/>
    <w:rsid w:val="0015194A"/>
    <w:rsid w:val="0015419C"/>
    <w:rsid w:val="00155303"/>
    <w:rsid w:val="00155B42"/>
    <w:rsid w:val="00157114"/>
    <w:rsid w:val="00157D9F"/>
    <w:rsid w:val="00170D8F"/>
    <w:rsid w:val="00172F2D"/>
    <w:rsid w:val="00174CEC"/>
    <w:rsid w:val="001761B7"/>
    <w:rsid w:val="00176FDF"/>
    <w:rsid w:val="00177F89"/>
    <w:rsid w:val="00182C89"/>
    <w:rsid w:val="0018610D"/>
    <w:rsid w:val="00187B50"/>
    <w:rsid w:val="00190CAA"/>
    <w:rsid w:val="00192F17"/>
    <w:rsid w:val="00194CDB"/>
    <w:rsid w:val="00195B14"/>
    <w:rsid w:val="001A383B"/>
    <w:rsid w:val="001B4A1C"/>
    <w:rsid w:val="001B5C8D"/>
    <w:rsid w:val="001B72AD"/>
    <w:rsid w:val="001C0DFA"/>
    <w:rsid w:val="001C4F44"/>
    <w:rsid w:val="001D0D5E"/>
    <w:rsid w:val="001E140C"/>
    <w:rsid w:val="001E5FCA"/>
    <w:rsid w:val="001F0AAC"/>
    <w:rsid w:val="001F2522"/>
    <w:rsid w:val="001F2B60"/>
    <w:rsid w:val="001F5D65"/>
    <w:rsid w:val="001F7162"/>
    <w:rsid w:val="002068DD"/>
    <w:rsid w:val="002105F5"/>
    <w:rsid w:val="00210E60"/>
    <w:rsid w:val="0022512C"/>
    <w:rsid w:val="00234D53"/>
    <w:rsid w:val="00250A07"/>
    <w:rsid w:val="002550D7"/>
    <w:rsid w:val="00255ECF"/>
    <w:rsid w:val="00255F07"/>
    <w:rsid w:val="00256E20"/>
    <w:rsid w:val="00263C2B"/>
    <w:rsid w:val="00265597"/>
    <w:rsid w:val="00267E50"/>
    <w:rsid w:val="002800B7"/>
    <w:rsid w:val="00280578"/>
    <w:rsid w:val="00280B18"/>
    <w:rsid w:val="0028122D"/>
    <w:rsid w:val="00281728"/>
    <w:rsid w:val="00285646"/>
    <w:rsid w:val="002861A1"/>
    <w:rsid w:val="002918D1"/>
    <w:rsid w:val="0029356D"/>
    <w:rsid w:val="00293DE5"/>
    <w:rsid w:val="0029719A"/>
    <w:rsid w:val="002A2B31"/>
    <w:rsid w:val="002A45DD"/>
    <w:rsid w:val="002A5502"/>
    <w:rsid w:val="002A5A56"/>
    <w:rsid w:val="002A7248"/>
    <w:rsid w:val="002B2EC1"/>
    <w:rsid w:val="002B481B"/>
    <w:rsid w:val="002B4B65"/>
    <w:rsid w:val="002B56CF"/>
    <w:rsid w:val="002C3270"/>
    <w:rsid w:val="002C5580"/>
    <w:rsid w:val="002D016B"/>
    <w:rsid w:val="002D0EFC"/>
    <w:rsid w:val="002D1831"/>
    <w:rsid w:val="002D25EF"/>
    <w:rsid w:val="002D37DD"/>
    <w:rsid w:val="002D48D7"/>
    <w:rsid w:val="002D4D17"/>
    <w:rsid w:val="002D54DC"/>
    <w:rsid w:val="002E3ABE"/>
    <w:rsid w:val="0030358A"/>
    <w:rsid w:val="003048A9"/>
    <w:rsid w:val="00304AEC"/>
    <w:rsid w:val="00307414"/>
    <w:rsid w:val="00310AEF"/>
    <w:rsid w:val="00311862"/>
    <w:rsid w:val="00311B05"/>
    <w:rsid w:val="00317A61"/>
    <w:rsid w:val="00317DC2"/>
    <w:rsid w:val="003221EE"/>
    <w:rsid w:val="0032444F"/>
    <w:rsid w:val="00324D45"/>
    <w:rsid w:val="00327F15"/>
    <w:rsid w:val="00330E39"/>
    <w:rsid w:val="00332108"/>
    <w:rsid w:val="0033480B"/>
    <w:rsid w:val="00341D7D"/>
    <w:rsid w:val="003440E2"/>
    <w:rsid w:val="003450D2"/>
    <w:rsid w:val="00346186"/>
    <w:rsid w:val="003464ED"/>
    <w:rsid w:val="00347D0A"/>
    <w:rsid w:val="00350FBA"/>
    <w:rsid w:val="00354E8B"/>
    <w:rsid w:val="00357A90"/>
    <w:rsid w:val="00357AF5"/>
    <w:rsid w:val="00361814"/>
    <w:rsid w:val="00365E4F"/>
    <w:rsid w:val="0036704F"/>
    <w:rsid w:val="00367944"/>
    <w:rsid w:val="00375E62"/>
    <w:rsid w:val="00383B55"/>
    <w:rsid w:val="003874AF"/>
    <w:rsid w:val="00387ACF"/>
    <w:rsid w:val="003A52C7"/>
    <w:rsid w:val="003A657A"/>
    <w:rsid w:val="003B6989"/>
    <w:rsid w:val="003C26C1"/>
    <w:rsid w:val="003C524D"/>
    <w:rsid w:val="003C72B9"/>
    <w:rsid w:val="003D365B"/>
    <w:rsid w:val="003E6841"/>
    <w:rsid w:val="003F7FF7"/>
    <w:rsid w:val="004100A3"/>
    <w:rsid w:val="00412D16"/>
    <w:rsid w:val="00413F9D"/>
    <w:rsid w:val="00414BEE"/>
    <w:rsid w:val="004174AB"/>
    <w:rsid w:val="0042193F"/>
    <w:rsid w:val="00424B85"/>
    <w:rsid w:val="00430F56"/>
    <w:rsid w:val="00431D4C"/>
    <w:rsid w:val="00432852"/>
    <w:rsid w:val="00434903"/>
    <w:rsid w:val="00437486"/>
    <w:rsid w:val="00441D33"/>
    <w:rsid w:val="0044335C"/>
    <w:rsid w:val="004457CC"/>
    <w:rsid w:val="00454BCD"/>
    <w:rsid w:val="00454C3C"/>
    <w:rsid w:val="00457DCD"/>
    <w:rsid w:val="00460F20"/>
    <w:rsid w:val="004615B2"/>
    <w:rsid w:val="00465FDB"/>
    <w:rsid w:val="004673D1"/>
    <w:rsid w:val="004676CA"/>
    <w:rsid w:val="00473EE2"/>
    <w:rsid w:val="004741CB"/>
    <w:rsid w:val="004746FC"/>
    <w:rsid w:val="0048706A"/>
    <w:rsid w:val="004958C3"/>
    <w:rsid w:val="004A090B"/>
    <w:rsid w:val="004A4DC1"/>
    <w:rsid w:val="004A5F37"/>
    <w:rsid w:val="004B4904"/>
    <w:rsid w:val="004B6058"/>
    <w:rsid w:val="004B6F4F"/>
    <w:rsid w:val="004C1265"/>
    <w:rsid w:val="004C2184"/>
    <w:rsid w:val="004C4FB4"/>
    <w:rsid w:val="004D1414"/>
    <w:rsid w:val="004D33ED"/>
    <w:rsid w:val="004D40AF"/>
    <w:rsid w:val="004D46D1"/>
    <w:rsid w:val="004E42B2"/>
    <w:rsid w:val="004E7689"/>
    <w:rsid w:val="004F21DF"/>
    <w:rsid w:val="004F42F1"/>
    <w:rsid w:val="004F705F"/>
    <w:rsid w:val="00500DC5"/>
    <w:rsid w:val="005017FB"/>
    <w:rsid w:val="00504367"/>
    <w:rsid w:val="005044DF"/>
    <w:rsid w:val="0050514D"/>
    <w:rsid w:val="005130AA"/>
    <w:rsid w:val="005170CA"/>
    <w:rsid w:val="00536D09"/>
    <w:rsid w:val="00536FBA"/>
    <w:rsid w:val="005411AC"/>
    <w:rsid w:val="00543825"/>
    <w:rsid w:val="00543C08"/>
    <w:rsid w:val="00546D21"/>
    <w:rsid w:val="00550C29"/>
    <w:rsid w:val="00554338"/>
    <w:rsid w:val="00561606"/>
    <w:rsid w:val="00571F3C"/>
    <w:rsid w:val="00577539"/>
    <w:rsid w:val="00586645"/>
    <w:rsid w:val="00587330"/>
    <w:rsid w:val="00591125"/>
    <w:rsid w:val="005A0BDC"/>
    <w:rsid w:val="005A52B8"/>
    <w:rsid w:val="005B0AC0"/>
    <w:rsid w:val="005B3061"/>
    <w:rsid w:val="005B364A"/>
    <w:rsid w:val="005B62B2"/>
    <w:rsid w:val="005C08B7"/>
    <w:rsid w:val="005C7A17"/>
    <w:rsid w:val="005D2445"/>
    <w:rsid w:val="005D2BAC"/>
    <w:rsid w:val="005D7CAF"/>
    <w:rsid w:val="005D7D1E"/>
    <w:rsid w:val="005E0643"/>
    <w:rsid w:val="005E34B4"/>
    <w:rsid w:val="005E5CD9"/>
    <w:rsid w:val="005F52D7"/>
    <w:rsid w:val="005F5378"/>
    <w:rsid w:val="006077A6"/>
    <w:rsid w:val="006106CA"/>
    <w:rsid w:val="00613397"/>
    <w:rsid w:val="00613411"/>
    <w:rsid w:val="00613EE4"/>
    <w:rsid w:val="006213B0"/>
    <w:rsid w:val="00625FC0"/>
    <w:rsid w:val="00630486"/>
    <w:rsid w:val="00632A79"/>
    <w:rsid w:val="00634ECF"/>
    <w:rsid w:val="00643B2A"/>
    <w:rsid w:val="00646800"/>
    <w:rsid w:val="00650DA0"/>
    <w:rsid w:val="00654124"/>
    <w:rsid w:val="00660D95"/>
    <w:rsid w:val="00661465"/>
    <w:rsid w:val="00661ED7"/>
    <w:rsid w:val="006647B8"/>
    <w:rsid w:val="006673BB"/>
    <w:rsid w:val="006720FB"/>
    <w:rsid w:val="00673887"/>
    <w:rsid w:val="00676EA1"/>
    <w:rsid w:val="00682716"/>
    <w:rsid w:val="00684D0B"/>
    <w:rsid w:val="00690942"/>
    <w:rsid w:val="00691DA6"/>
    <w:rsid w:val="00692379"/>
    <w:rsid w:val="00693245"/>
    <w:rsid w:val="00697202"/>
    <w:rsid w:val="006B2B6B"/>
    <w:rsid w:val="006C317F"/>
    <w:rsid w:val="006C354F"/>
    <w:rsid w:val="006C748F"/>
    <w:rsid w:val="006C7813"/>
    <w:rsid w:val="006D7ACA"/>
    <w:rsid w:val="006D7EDF"/>
    <w:rsid w:val="006E4A2F"/>
    <w:rsid w:val="006E5E08"/>
    <w:rsid w:val="006E6221"/>
    <w:rsid w:val="006F3A53"/>
    <w:rsid w:val="006F43EB"/>
    <w:rsid w:val="006F6046"/>
    <w:rsid w:val="006F6A72"/>
    <w:rsid w:val="006F6CBC"/>
    <w:rsid w:val="00700822"/>
    <w:rsid w:val="00702440"/>
    <w:rsid w:val="00707DF5"/>
    <w:rsid w:val="007147BE"/>
    <w:rsid w:val="00714E19"/>
    <w:rsid w:val="0071535E"/>
    <w:rsid w:val="007175BA"/>
    <w:rsid w:val="00724D15"/>
    <w:rsid w:val="00724F8E"/>
    <w:rsid w:val="00731550"/>
    <w:rsid w:val="00737FF8"/>
    <w:rsid w:val="00741A3C"/>
    <w:rsid w:val="007645F2"/>
    <w:rsid w:val="00772213"/>
    <w:rsid w:val="00776EA4"/>
    <w:rsid w:val="007774A2"/>
    <w:rsid w:val="0078136B"/>
    <w:rsid w:val="00782CD5"/>
    <w:rsid w:val="007911B0"/>
    <w:rsid w:val="007940BF"/>
    <w:rsid w:val="0079766D"/>
    <w:rsid w:val="007A664A"/>
    <w:rsid w:val="007B0F3F"/>
    <w:rsid w:val="007B65F3"/>
    <w:rsid w:val="007B6A9B"/>
    <w:rsid w:val="007C0254"/>
    <w:rsid w:val="007C31D1"/>
    <w:rsid w:val="007C4B78"/>
    <w:rsid w:val="007D1AD5"/>
    <w:rsid w:val="007D46F2"/>
    <w:rsid w:val="007D4B0E"/>
    <w:rsid w:val="007E1F83"/>
    <w:rsid w:val="007E6677"/>
    <w:rsid w:val="007E7638"/>
    <w:rsid w:val="007F58B4"/>
    <w:rsid w:val="007F6F10"/>
    <w:rsid w:val="008049C4"/>
    <w:rsid w:val="00807298"/>
    <w:rsid w:val="0081159A"/>
    <w:rsid w:val="00811BD7"/>
    <w:rsid w:val="00812546"/>
    <w:rsid w:val="00816718"/>
    <w:rsid w:val="00820CBB"/>
    <w:rsid w:val="00822D0E"/>
    <w:rsid w:val="00823DCC"/>
    <w:rsid w:val="00823E0C"/>
    <w:rsid w:val="008323CA"/>
    <w:rsid w:val="00837A2E"/>
    <w:rsid w:val="00840539"/>
    <w:rsid w:val="008405D4"/>
    <w:rsid w:val="00847EFF"/>
    <w:rsid w:val="008517F5"/>
    <w:rsid w:val="0085274B"/>
    <w:rsid w:val="00857D75"/>
    <w:rsid w:val="0087327D"/>
    <w:rsid w:val="00873421"/>
    <w:rsid w:val="00873CD0"/>
    <w:rsid w:val="0087407E"/>
    <w:rsid w:val="0087646A"/>
    <w:rsid w:val="00886A74"/>
    <w:rsid w:val="008910E0"/>
    <w:rsid w:val="00891ACF"/>
    <w:rsid w:val="00895B6A"/>
    <w:rsid w:val="008968DB"/>
    <w:rsid w:val="008A1D41"/>
    <w:rsid w:val="008A7970"/>
    <w:rsid w:val="008B7EB0"/>
    <w:rsid w:val="008C0338"/>
    <w:rsid w:val="008C1765"/>
    <w:rsid w:val="008C2836"/>
    <w:rsid w:val="008C467D"/>
    <w:rsid w:val="008C6E6A"/>
    <w:rsid w:val="008D3692"/>
    <w:rsid w:val="008D5027"/>
    <w:rsid w:val="008D559C"/>
    <w:rsid w:val="008D5A91"/>
    <w:rsid w:val="00906B4D"/>
    <w:rsid w:val="0090753D"/>
    <w:rsid w:val="00911CD3"/>
    <w:rsid w:val="009177B8"/>
    <w:rsid w:val="009227D8"/>
    <w:rsid w:val="0092504B"/>
    <w:rsid w:val="00926E39"/>
    <w:rsid w:val="00930324"/>
    <w:rsid w:val="009314F5"/>
    <w:rsid w:val="009350E8"/>
    <w:rsid w:val="00940D12"/>
    <w:rsid w:val="00942DE7"/>
    <w:rsid w:val="00947D82"/>
    <w:rsid w:val="009545E8"/>
    <w:rsid w:val="00954EF4"/>
    <w:rsid w:val="00957281"/>
    <w:rsid w:val="00960CC3"/>
    <w:rsid w:val="00960D94"/>
    <w:rsid w:val="00963319"/>
    <w:rsid w:val="00965C09"/>
    <w:rsid w:val="00970349"/>
    <w:rsid w:val="009747EE"/>
    <w:rsid w:val="00976950"/>
    <w:rsid w:val="009779A5"/>
    <w:rsid w:val="00982105"/>
    <w:rsid w:val="00985A1B"/>
    <w:rsid w:val="00992062"/>
    <w:rsid w:val="00993FA0"/>
    <w:rsid w:val="009A5C4E"/>
    <w:rsid w:val="009A79DB"/>
    <w:rsid w:val="009B1BB2"/>
    <w:rsid w:val="009B72E9"/>
    <w:rsid w:val="009B7A2C"/>
    <w:rsid w:val="009C53E6"/>
    <w:rsid w:val="009D08A0"/>
    <w:rsid w:val="009D30E6"/>
    <w:rsid w:val="009D5177"/>
    <w:rsid w:val="009D5532"/>
    <w:rsid w:val="009E5C03"/>
    <w:rsid w:val="009F2BDC"/>
    <w:rsid w:val="009F56A0"/>
    <w:rsid w:val="00A01E6E"/>
    <w:rsid w:val="00A127C5"/>
    <w:rsid w:val="00A16331"/>
    <w:rsid w:val="00A168F9"/>
    <w:rsid w:val="00A16B82"/>
    <w:rsid w:val="00A22DB7"/>
    <w:rsid w:val="00A23C5F"/>
    <w:rsid w:val="00A27C4D"/>
    <w:rsid w:val="00A32D28"/>
    <w:rsid w:val="00A33C6C"/>
    <w:rsid w:val="00A35499"/>
    <w:rsid w:val="00A363EA"/>
    <w:rsid w:val="00A410ED"/>
    <w:rsid w:val="00A43885"/>
    <w:rsid w:val="00A52F6A"/>
    <w:rsid w:val="00A53575"/>
    <w:rsid w:val="00A53847"/>
    <w:rsid w:val="00A552AC"/>
    <w:rsid w:val="00A60A13"/>
    <w:rsid w:val="00A64607"/>
    <w:rsid w:val="00A67CD6"/>
    <w:rsid w:val="00A70EC1"/>
    <w:rsid w:val="00A73B2E"/>
    <w:rsid w:val="00A75CF7"/>
    <w:rsid w:val="00A77FC9"/>
    <w:rsid w:val="00A82AF7"/>
    <w:rsid w:val="00A8565A"/>
    <w:rsid w:val="00A94DC5"/>
    <w:rsid w:val="00A959EE"/>
    <w:rsid w:val="00A960B7"/>
    <w:rsid w:val="00AA067F"/>
    <w:rsid w:val="00AA3629"/>
    <w:rsid w:val="00AA6730"/>
    <w:rsid w:val="00AB19B4"/>
    <w:rsid w:val="00AB48E2"/>
    <w:rsid w:val="00AD2A5E"/>
    <w:rsid w:val="00AD6A55"/>
    <w:rsid w:val="00AE1F21"/>
    <w:rsid w:val="00AE22FE"/>
    <w:rsid w:val="00AF3F7F"/>
    <w:rsid w:val="00AF783E"/>
    <w:rsid w:val="00B0520E"/>
    <w:rsid w:val="00B07DB7"/>
    <w:rsid w:val="00B11062"/>
    <w:rsid w:val="00B12268"/>
    <w:rsid w:val="00B17882"/>
    <w:rsid w:val="00B27F83"/>
    <w:rsid w:val="00B3060C"/>
    <w:rsid w:val="00B4133A"/>
    <w:rsid w:val="00B43F8F"/>
    <w:rsid w:val="00B4510B"/>
    <w:rsid w:val="00B4592A"/>
    <w:rsid w:val="00B5492D"/>
    <w:rsid w:val="00B563EC"/>
    <w:rsid w:val="00B619B2"/>
    <w:rsid w:val="00B62F00"/>
    <w:rsid w:val="00B645F8"/>
    <w:rsid w:val="00B65E84"/>
    <w:rsid w:val="00B73EE7"/>
    <w:rsid w:val="00B809B1"/>
    <w:rsid w:val="00B8247E"/>
    <w:rsid w:val="00B842A6"/>
    <w:rsid w:val="00B93198"/>
    <w:rsid w:val="00B95C78"/>
    <w:rsid w:val="00B97B6A"/>
    <w:rsid w:val="00BA09AB"/>
    <w:rsid w:val="00BB52C9"/>
    <w:rsid w:val="00BB58CD"/>
    <w:rsid w:val="00BB6A03"/>
    <w:rsid w:val="00BC50CF"/>
    <w:rsid w:val="00BC68D3"/>
    <w:rsid w:val="00BD0F53"/>
    <w:rsid w:val="00BD21F4"/>
    <w:rsid w:val="00BD4441"/>
    <w:rsid w:val="00BE35A9"/>
    <w:rsid w:val="00BE50DF"/>
    <w:rsid w:val="00BE525E"/>
    <w:rsid w:val="00BE53FE"/>
    <w:rsid w:val="00BE5766"/>
    <w:rsid w:val="00BF4C40"/>
    <w:rsid w:val="00C00C82"/>
    <w:rsid w:val="00C01D33"/>
    <w:rsid w:val="00C020D5"/>
    <w:rsid w:val="00C07ADF"/>
    <w:rsid w:val="00C07C0F"/>
    <w:rsid w:val="00C14160"/>
    <w:rsid w:val="00C15357"/>
    <w:rsid w:val="00C21C3B"/>
    <w:rsid w:val="00C21DF9"/>
    <w:rsid w:val="00C2201B"/>
    <w:rsid w:val="00C24117"/>
    <w:rsid w:val="00C25B3C"/>
    <w:rsid w:val="00C31065"/>
    <w:rsid w:val="00C32315"/>
    <w:rsid w:val="00C436B4"/>
    <w:rsid w:val="00C43F54"/>
    <w:rsid w:val="00C450ED"/>
    <w:rsid w:val="00C45E49"/>
    <w:rsid w:val="00C4784C"/>
    <w:rsid w:val="00C522DF"/>
    <w:rsid w:val="00C529CB"/>
    <w:rsid w:val="00C53401"/>
    <w:rsid w:val="00C61338"/>
    <w:rsid w:val="00C619A3"/>
    <w:rsid w:val="00C66548"/>
    <w:rsid w:val="00C676DC"/>
    <w:rsid w:val="00C70DE2"/>
    <w:rsid w:val="00C71B4C"/>
    <w:rsid w:val="00C81A04"/>
    <w:rsid w:val="00C82B62"/>
    <w:rsid w:val="00C862E4"/>
    <w:rsid w:val="00C9568C"/>
    <w:rsid w:val="00CA15AB"/>
    <w:rsid w:val="00CA340B"/>
    <w:rsid w:val="00CA5A73"/>
    <w:rsid w:val="00CB166B"/>
    <w:rsid w:val="00CB1F74"/>
    <w:rsid w:val="00CB3456"/>
    <w:rsid w:val="00CB575F"/>
    <w:rsid w:val="00CB7E19"/>
    <w:rsid w:val="00CC10C5"/>
    <w:rsid w:val="00CD0E64"/>
    <w:rsid w:val="00CD27DD"/>
    <w:rsid w:val="00CE2A13"/>
    <w:rsid w:val="00CE34DA"/>
    <w:rsid w:val="00CE6B4F"/>
    <w:rsid w:val="00CE7CA2"/>
    <w:rsid w:val="00CF0C5E"/>
    <w:rsid w:val="00CF103E"/>
    <w:rsid w:val="00CF10C8"/>
    <w:rsid w:val="00CF2775"/>
    <w:rsid w:val="00CF2B30"/>
    <w:rsid w:val="00CF34D3"/>
    <w:rsid w:val="00CF3F2C"/>
    <w:rsid w:val="00CF5F69"/>
    <w:rsid w:val="00D01E29"/>
    <w:rsid w:val="00D03E9C"/>
    <w:rsid w:val="00D04B2E"/>
    <w:rsid w:val="00D0578F"/>
    <w:rsid w:val="00D05D80"/>
    <w:rsid w:val="00D1004C"/>
    <w:rsid w:val="00D1518E"/>
    <w:rsid w:val="00D17C16"/>
    <w:rsid w:val="00D20BE7"/>
    <w:rsid w:val="00D22181"/>
    <w:rsid w:val="00D27A74"/>
    <w:rsid w:val="00D27DBF"/>
    <w:rsid w:val="00D30887"/>
    <w:rsid w:val="00D30EC0"/>
    <w:rsid w:val="00D32847"/>
    <w:rsid w:val="00D329EF"/>
    <w:rsid w:val="00D37B31"/>
    <w:rsid w:val="00D40400"/>
    <w:rsid w:val="00D47BD2"/>
    <w:rsid w:val="00D51B8E"/>
    <w:rsid w:val="00D563C2"/>
    <w:rsid w:val="00D56BB3"/>
    <w:rsid w:val="00D56BF0"/>
    <w:rsid w:val="00D70FCA"/>
    <w:rsid w:val="00D83928"/>
    <w:rsid w:val="00D96A4D"/>
    <w:rsid w:val="00D977E4"/>
    <w:rsid w:val="00DC0F30"/>
    <w:rsid w:val="00DD1FED"/>
    <w:rsid w:val="00DD4DB9"/>
    <w:rsid w:val="00DD59D5"/>
    <w:rsid w:val="00DD6CC9"/>
    <w:rsid w:val="00DE17B4"/>
    <w:rsid w:val="00DE2D2E"/>
    <w:rsid w:val="00DE463F"/>
    <w:rsid w:val="00DE4CEB"/>
    <w:rsid w:val="00DE59F7"/>
    <w:rsid w:val="00DE785A"/>
    <w:rsid w:val="00DF18D4"/>
    <w:rsid w:val="00DF2A9D"/>
    <w:rsid w:val="00DF4C7F"/>
    <w:rsid w:val="00DF535C"/>
    <w:rsid w:val="00DF5D5B"/>
    <w:rsid w:val="00DF72F3"/>
    <w:rsid w:val="00E00C83"/>
    <w:rsid w:val="00E05A06"/>
    <w:rsid w:val="00E14F23"/>
    <w:rsid w:val="00E23609"/>
    <w:rsid w:val="00E2739B"/>
    <w:rsid w:val="00E31A76"/>
    <w:rsid w:val="00E34739"/>
    <w:rsid w:val="00E34C18"/>
    <w:rsid w:val="00E3594D"/>
    <w:rsid w:val="00E35D4C"/>
    <w:rsid w:val="00E4510A"/>
    <w:rsid w:val="00E47251"/>
    <w:rsid w:val="00E4795F"/>
    <w:rsid w:val="00E662A6"/>
    <w:rsid w:val="00E675CC"/>
    <w:rsid w:val="00E71E03"/>
    <w:rsid w:val="00E72493"/>
    <w:rsid w:val="00E77F00"/>
    <w:rsid w:val="00E82B5C"/>
    <w:rsid w:val="00E92A21"/>
    <w:rsid w:val="00E92B27"/>
    <w:rsid w:val="00E92C1A"/>
    <w:rsid w:val="00E94212"/>
    <w:rsid w:val="00E95662"/>
    <w:rsid w:val="00EA3A6C"/>
    <w:rsid w:val="00EA45DB"/>
    <w:rsid w:val="00EA5789"/>
    <w:rsid w:val="00EA78D2"/>
    <w:rsid w:val="00EB486C"/>
    <w:rsid w:val="00EB48CE"/>
    <w:rsid w:val="00EB5997"/>
    <w:rsid w:val="00EC1132"/>
    <w:rsid w:val="00EC56F6"/>
    <w:rsid w:val="00EC7620"/>
    <w:rsid w:val="00ED0A3E"/>
    <w:rsid w:val="00ED2AF1"/>
    <w:rsid w:val="00ED4ADB"/>
    <w:rsid w:val="00EE2519"/>
    <w:rsid w:val="00EE28F6"/>
    <w:rsid w:val="00EE74DC"/>
    <w:rsid w:val="00EF5BC5"/>
    <w:rsid w:val="00EF7FA0"/>
    <w:rsid w:val="00F01385"/>
    <w:rsid w:val="00F0693F"/>
    <w:rsid w:val="00F12C16"/>
    <w:rsid w:val="00F2414F"/>
    <w:rsid w:val="00F262AC"/>
    <w:rsid w:val="00F26A85"/>
    <w:rsid w:val="00F26C31"/>
    <w:rsid w:val="00F32291"/>
    <w:rsid w:val="00F33BEF"/>
    <w:rsid w:val="00F40AB9"/>
    <w:rsid w:val="00F419AF"/>
    <w:rsid w:val="00F43CA1"/>
    <w:rsid w:val="00F44079"/>
    <w:rsid w:val="00F44155"/>
    <w:rsid w:val="00F47AB1"/>
    <w:rsid w:val="00F47DE9"/>
    <w:rsid w:val="00F51975"/>
    <w:rsid w:val="00F53ECA"/>
    <w:rsid w:val="00F560EC"/>
    <w:rsid w:val="00F563AA"/>
    <w:rsid w:val="00F61149"/>
    <w:rsid w:val="00F62CBC"/>
    <w:rsid w:val="00F64C84"/>
    <w:rsid w:val="00F64FDB"/>
    <w:rsid w:val="00F65029"/>
    <w:rsid w:val="00F6585D"/>
    <w:rsid w:val="00F669A6"/>
    <w:rsid w:val="00F7461F"/>
    <w:rsid w:val="00F756D2"/>
    <w:rsid w:val="00F7573A"/>
    <w:rsid w:val="00F81383"/>
    <w:rsid w:val="00F82196"/>
    <w:rsid w:val="00F82F76"/>
    <w:rsid w:val="00F830DE"/>
    <w:rsid w:val="00F84186"/>
    <w:rsid w:val="00F8487D"/>
    <w:rsid w:val="00F873A4"/>
    <w:rsid w:val="00F904F7"/>
    <w:rsid w:val="00F936AD"/>
    <w:rsid w:val="00F94796"/>
    <w:rsid w:val="00F96AE9"/>
    <w:rsid w:val="00F96B1E"/>
    <w:rsid w:val="00FA0467"/>
    <w:rsid w:val="00FA0726"/>
    <w:rsid w:val="00FA24E5"/>
    <w:rsid w:val="00FA4B91"/>
    <w:rsid w:val="00FA6F89"/>
    <w:rsid w:val="00FC07EC"/>
    <w:rsid w:val="00FC1D67"/>
    <w:rsid w:val="00FC260C"/>
    <w:rsid w:val="00FC6574"/>
    <w:rsid w:val="00FD1C96"/>
    <w:rsid w:val="00FD2FBD"/>
    <w:rsid w:val="00FD4821"/>
    <w:rsid w:val="00FD5307"/>
    <w:rsid w:val="00FE4C1F"/>
    <w:rsid w:val="00FE54C4"/>
    <w:rsid w:val="00FE60E3"/>
    <w:rsid w:val="00FE62EE"/>
    <w:rsid w:val="00FE6577"/>
    <w:rsid w:val="00FF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4849"/>
  <w15:chartTrackingRefBased/>
  <w15:docId w15:val="{59252052-9E9C-4875-AA39-664E8B2A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32D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577757">
      <w:bodyDiv w:val="1"/>
      <w:marLeft w:val="0"/>
      <w:marRight w:val="0"/>
      <w:marTop w:val="0"/>
      <w:marBottom w:val="0"/>
      <w:divBdr>
        <w:top w:val="none" w:sz="0" w:space="0" w:color="auto"/>
        <w:left w:val="none" w:sz="0" w:space="0" w:color="auto"/>
        <w:bottom w:val="none" w:sz="0" w:space="0" w:color="auto"/>
        <w:right w:val="none" w:sz="0" w:space="0" w:color="auto"/>
      </w:divBdr>
    </w:div>
    <w:div w:id="1426999483">
      <w:bodyDiv w:val="1"/>
      <w:marLeft w:val="0"/>
      <w:marRight w:val="0"/>
      <w:marTop w:val="0"/>
      <w:marBottom w:val="0"/>
      <w:divBdr>
        <w:top w:val="none" w:sz="0" w:space="0" w:color="auto"/>
        <w:left w:val="none" w:sz="0" w:space="0" w:color="auto"/>
        <w:bottom w:val="none" w:sz="0" w:space="0" w:color="auto"/>
        <w:right w:val="none" w:sz="0" w:space="0" w:color="auto"/>
      </w:divBdr>
    </w:div>
    <w:div w:id="1459684739">
      <w:bodyDiv w:val="1"/>
      <w:marLeft w:val="0"/>
      <w:marRight w:val="0"/>
      <w:marTop w:val="0"/>
      <w:marBottom w:val="0"/>
      <w:divBdr>
        <w:top w:val="none" w:sz="0" w:space="0" w:color="auto"/>
        <w:left w:val="none" w:sz="0" w:space="0" w:color="auto"/>
        <w:bottom w:val="none" w:sz="0" w:space="0" w:color="auto"/>
        <w:right w:val="none" w:sz="0" w:space="0" w:color="auto"/>
      </w:divBdr>
    </w:div>
    <w:div w:id="1743675232">
      <w:bodyDiv w:val="1"/>
      <w:marLeft w:val="0"/>
      <w:marRight w:val="0"/>
      <w:marTop w:val="0"/>
      <w:marBottom w:val="0"/>
      <w:divBdr>
        <w:top w:val="none" w:sz="0" w:space="0" w:color="auto"/>
        <w:left w:val="none" w:sz="0" w:space="0" w:color="auto"/>
        <w:bottom w:val="none" w:sz="0" w:space="0" w:color="auto"/>
        <w:right w:val="none" w:sz="0" w:space="0" w:color="auto"/>
      </w:divBdr>
    </w:div>
    <w:div w:id="1799954462">
      <w:bodyDiv w:val="1"/>
      <w:marLeft w:val="0"/>
      <w:marRight w:val="0"/>
      <w:marTop w:val="0"/>
      <w:marBottom w:val="0"/>
      <w:divBdr>
        <w:top w:val="none" w:sz="0" w:space="0" w:color="auto"/>
        <w:left w:val="none" w:sz="0" w:space="0" w:color="auto"/>
        <w:bottom w:val="none" w:sz="0" w:space="0" w:color="auto"/>
        <w:right w:val="none" w:sz="0" w:space="0" w:color="auto"/>
      </w:divBdr>
    </w:div>
    <w:div w:id="1855877056">
      <w:bodyDiv w:val="1"/>
      <w:marLeft w:val="0"/>
      <w:marRight w:val="0"/>
      <w:marTop w:val="0"/>
      <w:marBottom w:val="0"/>
      <w:divBdr>
        <w:top w:val="none" w:sz="0" w:space="0" w:color="auto"/>
        <w:left w:val="none" w:sz="0" w:space="0" w:color="auto"/>
        <w:bottom w:val="none" w:sz="0" w:space="0" w:color="auto"/>
        <w:right w:val="none" w:sz="0" w:space="0" w:color="auto"/>
      </w:divBdr>
    </w:div>
    <w:div w:id="19390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4/relationships/chartEx" Target="charts/chartEx2.xml"/><Relationship Id="rId12" Type="http://schemas.openxmlformats.org/officeDocument/2006/relationships/chart" Target="charts/chart5.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chart" Target="charts/chart3.xml"/><Relationship Id="rId4" Type="http://schemas.microsoft.com/office/2014/relationships/chartEx" Target="charts/chartEx1.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comerica-my.sharepoint.com/personal/ntessier_comerica_com/Documents/Documents/Credit%20Card%20Analytics%202.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https://comerica-my.sharepoint.com/personal/ntessier_comerica_com/Documents/Documents/Credit%20Card%20Analytics%202.xlsx" TargetMode="External"/><Relationship Id="rId2" Type="http://schemas.microsoft.com/office/2011/relationships/chartColorStyle" Target="colors4.xml"/><Relationship Id="rId1" Type="http://schemas.microsoft.com/office/2011/relationships/chartStyle" Target="style4.xml"/></Relationships>
</file>

<file path=word/charts/_rels/chart3.xml.rels><?xml version="1.0" encoding="UTF-8" standalone="yes"?>
<Relationships xmlns="http://schemas.openxmlformats.org/package/2006/relationships"><Relationship Id="rId3" Type="http://schemas.openxmlformats.org/officeDocument/2006/relationships/oleObject" Target="https://comerica-my.sharepoint.com/personal/ntessier_comerica_com/Documents/Documents/Credit%20Card%20Analytics.xlsx" TargetMode="External"/><Relationship Id="rId2" Type="http://schemas.microsoft.com/office/2011/relationships/chartColorStyle" Target="colors5.xml"/><Relationship Id="rId1" Type="http://schemas.microsoft.com/office/2011/relationships/chartStyle" Target="style5.xml"/></Relationships>
</file>

<file path=word/charts/_rels/chart4.xml.rels><?xml version="1.0" encoding="UTF-8" standalone="yes"?>
<Relationships xmlns="http://schemas.openxmlformats.org/package/2006/relationships"><Relationship Id="rId3" Type="http://schemas.openxmlformats.org/officeDocument/2006/relationships/oleObject" Target="https://comerica-my.sharepoint.com/personal/ntessier_comerica_com/Documents/Documents/Credit%20Card%20Analytics%202.xlsx" TargetMode="External"/><Relationship Id="rId2" Type="http://schemas.microsoft.com/office/2011/relationships/chartColorStyle" Target="colors6.xml"/><Relationship Id="rId1" Type="http://schemas.microsoft.com/office/2011/relationships/chartStyle" Target="style6.xml"/></Relationships>
</file>

<file path=word/charts/_rels/chart5.xml.rels><?xml version="1.0" encoding="UTF-8" standalone="yes"?>
<Relationships xmlns="http://schemas.openxmlformats.org/package/2006/relationships"><Relationship Id="rId3" Type="http://schemas.openxmlformats.org/officeDocument/2006/relationships/oleObject" Target="https://comerica-my.sharepoint.com/personal/ntessier_comerica_com/Documents/Documents/Credit%20Card%20Analytics.xlsx" TargetMode="External"/><Relationship Id="rId2" Type="http://schemas.microsoft.com/office/2011/relationships/chartColorStyle" Target="colors7.xml"/><Relationship Id="rId1" Type="http://schemas.microsoft.com/office/2011/relationships/chartStyle" Target="style7.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comerica-my.sharepoint.com/personal/ntessier_comerica_com/Documents/Documents/Credit%20Card%20Analytics.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https://comerica-my.sharepoint.com/personal/ntessier_comerica_com/Documents/Documents/Credit%20Card%20Analy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0">
                <a:solidFill>
                  <a:schemeClr val="tx1"/>
                </a:solidFill>
                <a:latin typeface="Harlow Solid Italic" panose="04030604020F02020D02" pitchFamily="82" charset="0"/>
              </a:rPr>
              <a:t>Percent</a:t>
            </a:r>
            <a:r>
              <a:rPr lang="en-US" b="0" baseline="0">
                <a:solidFill>
                  <a:schemeClr val="tx1"/>
                </a:solidFill>
                <a:latin typeface="Harlow Solid Italic" panose="04030604020F02020D02" pitchFamily="82" charset="0"/>
              </a:rPr>
              <a:t> Credit Card Sales by Age</a:t>
            </a:r>
            <a:endParaRPr lang="en-US" b="0">
              <a:solidFill>
                <a:schemeClr val="tx1"/>
              </a:solidFill>
              <a:latin typeface="Harlow Solid Italic" panose="04030604020F02020D02" pitchFamily="8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pieChart>
        <c:varyColors val="1"/>
        <c:ser>
          <c:idx val="0"/>
          <c:order val="0"/>
          <c:dPt>
            <c:idx val="0"/>
            <c:bubble3D val="0"/>
            <c:spPr>
              <a:solidFill>
                <a:srgbClr val="00B0F0"/>
              </a:solidFill>
              <a:ln w="19050">
                <a:solidFill>
                  <a:schemeClr val="tx1"/>
                </a:solidFill>
              </a:ln>
              <a:effectLst/>
            </c:spPr>
            <c:extLst>
              <c:ext xmlns:c16="http://schemas.microsoft.com/office/drawing/2014/chart" uri="{C3380CC4-5D6E-409C-BE32-E72D297353CC}">
                <c16:uniqueId val="{00000001-371E-4BC0-8208-48E6C1500842}"/>
              </c:ext>
            </c:extLst>
          </c:dPt>
          <c:dPt>
            <c:idx val="1"/>
            <c:bubble3D val="0"/>
            <c:spPr>
              <a:solidFill>
                <a:schemeClr val="accent2"/>
              </a:solidFill>
              <a:ln w="19050">
                <a:solidFill>
                  <a:schemeClr val="tx1"/>
                </a:solidFill>
              </a:ln>
              <a:effectLst/>
            </c:spPr>
            <c:extLst>
              <c:ext xmlns:c16="http://schemas.microsoft.com/office/drawing/2014/chart" uri="{C3380CC4-5D6E-409C-BE32-E72D297353CC}">
                <c16:uniqueId val="{00000003-371E-4BC0-8208-48E6C1500842}"/>
              </c:ext>
            </c:extLst>
          </c:dPt>
          <c:dPt>
            <c:idx val="2"/>
            <c:bubble3D val="0"/>
            <c:spPr>
              <a:solidFill>
                <a:schemeClr val="accent3"/>
              </a:solidFill>
              <a:ln w="19050">
                <a:solidFill>
                  <a:schemeClr val="tx1"/>
                </a:solidFill>
              </a:ln>
              <a:effectLst/>
            </c:spPr>
            <c:extLst>
              <c:ext xmlns:c16="http://schemas.microsoft.com/office/drawing/2014/chart" uri="{C3380CC4-5D6E-409C-BE32-E72D297353CC}">
                <c16:uniqueId val="{00000005-371E-4BC0-8208-48E6C1500842}"/>
              </c:ext>
            </c:extLst>
          </c:dPt>
          <c:dPt>
            <c:idx val="3"/>
            <c:bubble3D val="0"/>
            <c:spPr>
              <a:solidFill>
                <a:schemeClr val="accent4"/>
              </a:solidFill>
              <a:ln w="19050">
                <a:solidFill>
                  <a:schemeClr val="tx1"/>
                </a:solidFill>
              </a:ln>
              <a:effectLst/>
            </c:spPr>
            <c:extLst>
              <c:ext xmlns:c16="http://schemas.microsoft.com/office/drawing/2014/chart" uri="{C3380CC4-5D6E-409C-BE32-E72D297353CC}">
                <c16:uniqueId val="{00000007-371E-4BC0-8208-48E6C1500842}"/>
              </c:ext>
            </c:extLst>
          </c:dPt>
          <c:dPt>
            <c:idx val="4"/>
            <c:bubble3D val="0"/>
            <c:spPr>
              <a:solidFill>
                <a:schemeClr val="accent1"/>
              </a:solidFill>
              <a:ln w="19050">
                <a:solidFill>
                  <a:schemeClr val="tx1">
                    <a:alpha val="96000"/>
                  </a:schemeClr>
                </a:solidFill>
              </a:ln>
              <a:effectLst/>
            </c:spPr>
            <c:extLst>
              <c:ext xmlns:c16="http://schemas.microsoft.com/office/drawing/2014/chart" uri="{C3380CC4-5D6E-409C-BE32-E72D297353CC}">
                <c16:uniqueId val="{00000009-371E-4BC0-8208-48E6C1500842}"/>
              </c:ext>
            </c:extLst>
          </c:dPt>
          <c:dPt>
            <c:idx val="5"/>
            <c:bubble3D val="0"/>
            <c:spPr>
              <a:solidFill>
                <a:schemeClr val="accent6"/>
              </a:solidFill>
              <a:ln w="19050">
                <a:solidFill>
                  <a:schemeClr val="tx1"/>
                </a:solidFill>
              </a:ln>
              <a:effectLst/>
            </c:spPr>
            <c:extLst>
              <c:ext xmlns:c16="http://schemas.microsoft.com/office/drawing/2014/chart" uri="{C3380CC4-5D6E-409C-BE32-E72D297353CC}">
                <c16:uniqueId val="{0000000B-371E-4BC0-8208-48E6C1500842}"/>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Calculations!$F$12:$F$17</c:f>
              <c:strCache>
                <c:ptCount val="6"/>
                <c:pt idx="0">
                  <c:v>18-24</c:v>
                </c:pt>
                <c:pt idx="1">
                  <c:v>25-34</c:v>
                </c:pt>
                <c:pt idx="2">
                  <c:v>35-44</c:v>
                </c:pt>
                <c:pt idx="3">
                  <c:v>45-54</c:v>
                </c:pt>
                <c:pt idx="4">
                  <c:v>55-64</c:v>
                </c:pt>
                <c:pt idx="5">
                  <c:v>65+</c:v>
                </c:pt>
              </c:strCache>
            </c:strRef>
          </c:cat>
          <c:val>
            <c:numRef>
              <c:f>Calculations!$H$12:$H$17</c:f>
              <c:numCache>
                <c:formatCode>0%</c:formatCode>
                <c:ptCount val="6"/>
                <c:pt idx="0">
                  <c:v>1.5384615384615385E-2</c:v>
                </c:pt>
                <c:pt idx="1">
                  <c:v>6.1538461538461542E-2</c:v>
                </c:pt>
                <c:pt idx="2">
                  <c:v>0.15384615384615385</c:v>
                </c:pt>
                <c:pt idx="3">
                  <c:v>0.16923076923076924</c:v>
                </c:pt>
                <c:pt idx="4">
                  <c:v>0.29230769230769232</c:v>
                </c:pt>
                <c:pt idx="5">
                  <c:v>0.30769230769230771</c:v>
                </c:pt>
              </c:numCache>
            </c:numRef>
          </c:val>
          <c:extLst>
            <c:ext xmlns:c16="http://schemas.microsoft.com/office/drawing/2014/chart" uri="{C3380CC4-5D6E-409C-BE32-E72D297353CC}">
              <c16:uniqueId val="{0000000C-371E-4BC0-8208-48E6C1500842}"/>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lumMod val="50000"/>
        <a:lumOff val="50000"/>
      </a:schemeClr>
    </a:solidFill>
    <a:ln w="12700"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Harlow Solid Italic" panose="04030604020F02020D02" pitchFamily="82" charset="0"/>
                <a:ea typeface="+mn-ea"/>
                <a:cs typeface="+mn-cs"/>
              </a:defRPr>
            </a:pPr>
            <a:r>
              <a:rPr lang="en-US">
                <a:solidFill>
                  <a:schemeClr val="tx1"/>
                </a:solidFill>
                <a:latin typeface="Harlow Solid Italic" panose="04030604020F02020D02" pitchFamily="82" charset="0"/>
              </a:rPr>
              <a:t>Percent</a:t>
            </a:r>
            <a:r>
              <a:rPr lang="en-US" baseline="0">
                <a:solidFill>
                  <a:schemeClr val="tx1"/>
                </a:solidFill>
                <a:latin typeface="Harlow Solid Italic" panose="04030604020F02020D02" pitchFamily="82" charset="0"/>
              </a:rPr>
              <a:t> Credit Card Sales by Tenure with Bank</a:t>
            </a:r>
            <a:endParaRPr lang="en-US">
              <a:solidFill>
                <a:schemeClr val="tx1"/>
              </a:solidFill>
              <a:latin typeface="Harlow Solid Italic" panose="04030604020F02020D02" pitchFamily="8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Harlow Solid Italic" panose="04030604020F02020D02" pitchFamily="82" charset="0"/>
              <a:ea typeface="+mn-ea"/>
              <a:cs typeface="+mn-cs"/>
            </a:defRPr>
          </a:pPr>
          <a:endParaRPr lang="en-US"/>
        </a:p>
      </c:txPr>
    </c:title>
    <c:autoTitleDeleted val="0"/>
    <c:plotArea>
      <c:layout/>
      <c:pieChart>
        <c:varyColors val="1"/>
        <c:ser>
          <c:idx val="0"/>
          <c:order val="0"/>
          <c:spPr>
            <a:ln>
              <a:solidFill>
                <a:schemeClr val="tx1"/>
              </a:solidFill>
            </a:ln>
          </c:spPr>
          <c:dPt>
            <c:idx val="0"/>
            <c:bubble3D val="0"/>
            <c:spPr>
              <a:solidFill>
                <a:schemeClr val="accent1"/>
              </a:solidFill>
              <a:ln w="19050">
                <a:solidFill>
                  <a:schemeClr val="tx1"/>
                </a:solidFill>
              </a:ln>
              <a:effectLst/>
            </c:spPr>
            <c:extLst>
              <c:ext xmlns:c16="http://schemas.microsoft.com/office/drawing/2014/chart" uri="{C3380CC4-5D6E-409C-BE32-E72D297353CC}">
                <c16:uniqueId val="{00000001-0242-44C7-A360-3571A6FD4E53}"/>
              </c:ext>
            </c:extLst>
          </c:dPt>
          <c:dPt>
            <c:idx val="1"/>
            <c:bubble3D val="0"/>
            <c:spPr>
              <a:solidFill>
                <a:schemeClr val="accent2"/>
              </a:solidFill>
              <a:ln w="19050">
                <a:solidFill>
                  <a:schemeClr val="tx1"/>
                </a:solidFill>
              </a:ln>
              <a:effectLst/>
            </c:spPr>
            <c:extLst>
              <c:ext xmlns:c16="http://schemas.microsoft.com/office/drawing/2014/chart" uri="{C3380CC4-5D6E-409C-BE32-E72D297353CC}">
                <c16:uniqueId val="{00000003-0242-44C7-A360-3571A6FD4E53}"/>
              </c:ext>
            </c:extLst>
          </c:dPt>
          <c:dPt>
            <c:idx val="2"/>
            <c:bubble3D val="0"/>
            <c:spPr>
              <a:solidFill>
                <a:schemeClr val="accent3"/>
              </a:solidFill>
              <a:ln w="19050">
                <a:solidFill>
                  <a:schemeClr val="tx1"/>
                </a:solidFill>
              </a:ln>
              <a:effectLst/>
            </c:spPr>
            <c:extLst>
              <c:ext xmlns:c16="http://schemas.microsoft.com/office/drawing/2014/chart" uri="{C3380CC4-5D6E-409C-BE32-E72D297353CC}">
                <c16:uniqueId val="{00000005-0242-44C7-A360-3571A6FD4E53}"/>
              </c:ext>
            </c:extLst>
          </c:dPt>
          <c:dPt>
            <c:idx val="3"/>
            <c:bubble3D val="0"/>
            <c:spPr>
              <a:solidFill>
                <a:schemeClr val="accent4"/>
              </a:solidFill>
              <a:ln w="19050">
                <a:solidFill>
                  <a:schemeClr val="tx1"/>
                </a:solidFill>
              </a:ln>
              <a:effectLst/>
            </c:spPr>
            <c:extLst>
              <c:ext xmlns:c16="http://schemas.microsoft.com/office/drawing/2014/chart" uri="{C3380CC4-5D6E-409C-BE32-E72D297353CC}">
                <c16:uniqueId val="{00000007-0242-44C7-A360-3571A6FD4E53}"/>
              </c:ext>
            </c:extLst>
          </c:dPt>
          <c:dPt>
            <c:idx val="4"/>
            <c:bubble3D val="0"/>
            <c:spPr>
              <a:solidFill>
                <a:schemeClr val="accent5"/>
              </a:solidFill>
              <a:ln w="19050">
                <a:solidFill>
                  <a:schemeClr val="tx1"/>
                </a:solidFill>
              </a:ln>
              <a:effectLst/>
            </c:spPr>
            <c:extLst>
              <c:ext xmlns:c16="http://schemas.microsoft.com/office/drawing/2014/chart" uri="{C3380CC4-5D6E-409C-BE32-E72D297353CC}">
                <c16:uniqueId val="{00000009-0242-44C7-A360-3571A6FD4E53}"/>
              </c:ext>
            </c:extLst>
          </c:dPt>
          <c:dPt>
            <c:idx val="5"/>
            <c:bubble3D val="0"/>
            <c:spPr>
              <a:solidFill>
                <a:schemeClr val="accent6"/>
              </a:solidFill>
              <a:ln w="19050">
                <a:solidFill>
                  <a:schemeClr val="tx1"/>
                </a:solidFill>
              </a:ln>
              <a:effectLst/>
            </c:spPr>
            <c:extLst>
              <c:ext xmlns:c16="http://schemas.microsoft.com/office/drawing/2014/chart" uri="{C3380CC4-5D6E-409C-BE32-E72D297353CC}">
                <c16:uniqueId val="{0000000B-0242-44C7-A360-3571A6FD4E53}"/>
              </c:ext>
            </c:extLst>
          </c:dPt>
          <c:dPt>
            <c:idx val="6"/>
            <c:bubble3D val="0"/>
            <c:spPr>
              <a:solidFill>
                <a:schemeClr val="accent1">
                  <a:lumMod val="60000"/>
                </a:schemeClr>
              </a:solidFill>
              <a:ln w="19050">
                <a:solidFill>
                  <a:schemeClr val="tx1"/>
                </a:solidFill>
              </a:ln>
              <a:effectLst/>
            </c:spPr>
            <c:extLst>
              <c:ext xmlns:c16="http://schemas.microsoft.com/office/drawing/2014/chart" uri="{C3380CC4-5D6E-409C-BE32-E72D297353CC}">
                <c16:uniqueId val="{0000000D-0242-44C7-A360-3571A6FD4E53}"/>
              </c:ext>
            </c:extLst>
          </c:dPt>
          <c:dPt>
            <c:idx val="7"/>
            <c:bubble3D val="0"/>
            <c:spPr>
              <a:solidFill>
                <a:schemeClr val="accent2">
                  <a:lumMod val="60000"/>
                </a:schemeClr>
              </a:solidFill>
              <a:ln w="19050">
                <a:solidFill>
                  <a:schemeClr val="tx1"/>
                </a:solidFill>
              </a:ln>
              <a:effectLst/>
            </c:spPr>
            <c:extLst>
              <c:ext xmlns:c16="http://schemas.microsoft.com/office/drawing/2014/chart" uri="{C3380CC4-5D6E-409C-BE32-E72D297353CC}">
                <c16:uniqueId val="{0000000F-0242-44C7-A360-3571A6FD4E53}"/>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Calculations!$F$28:$F$35</c:f>
              <c:strCache>
                <c:ptCount val="8"/>
                <c:pt idx="0">
                  <c:v>&lt; 1 Year</c:v>
                </c:pt>
                <c:pt idx="1">
                  <c:v>1-5</c:v>
                </c:pt>
                <c:pt idx="2">
                  <c:v>6-10</c:v>
                </c:pt>
                <c:pt idx="3">
                  <c:v>11-20</c:v>
                </c:pt>
                <c:pt idx="4">
                  <c:v>21-30</c:v>
                </c:pt>
                <c:pt idx="5">
                  <c:v>31-40</c:v>
                </c:pt>
                <c:pt idx="6">
                  <c:v>41-50</c:v>
                </c:pt>
                <c:pt idx="7">
                  <c:v>50+</c:v>
                </c:pt>
              </c:strCache>
            </c:strRef>
          </c:cat>
          <c:val>
            <c:numRef>
              <c:f>Calculations!$H$28:$H$35</c:f>
              <c:numCache>
                <c:formatCode>0%</c:formatCode>
                <c:ptCount val="8"/>
                <c:pt idx="0">
                  <c:v>0.1076923076923077</c:v>
                </c:pt>
                <c:pt idx="1">
                  <c:v>0.13846153846153847</c:v>
                </c:pt>
                <c:pt idx="2">
                  <c:v>0.16923076923076924</c:v>
                </c:pt>
                <c:pt idx="3">
                  <c:v>0.24615384615384617</c:v>
                </c:pt>
                <c:pt idx="4">
                  <c:v>0.16923076923076924</c:v>
                </c:pt>
                <c:pt idx="5">
                  <c:v>0.12307692307692308</c:v>
                </c:pt>
                <c:pt idx="6">
                  <c:v>3.0769230769230771E-2</c:v>
                </c:pt>
                <c:pt idx="7">
                  <c:v>1.5384615384615385E-2</c:v>
                </c:pt>
              </c:numCache>
            </c:numRef>
          </c:val>
          <c:extLst>
            <c:ext xmlns:c16="http://schemas.microsoft.com/office/drawing/2014/chart" uri="{C3380CC4-5D6E-409C-BE32-E72D297353CC}">
              <c16:uniqueId val="{00000010-0242-44C7-A360-3571A6FD4E53}"/>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tx1">
        <a:lumMod val="50000"/>
        <a:lumOff val="5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0">
                <a:solidFill>
                  <a:schemeClr val="tx1"/>
                </a:solidFill>
                <a:latin typeface="Harlow Solid Italic" panose="04030604020F02020D02" pitchFamily="82" charset="0"/>
              </a:rPr>
              <a:t>Ratio</a:t>
            </a:r>
            <a:r>
              <a:rPr lang="en-US" b="0" baseline="0">
                <a:solidFill>
                  <a:schemeClr val="tx1"/>
                </a:solidFill>
                <a:latin typeface="Harlow Solid Italic" panose="04030604020F02020D02" pitchFamily="82" charset="0"/>
              </a:rPr>
              <a:t> of Male to Female</a:t>
            </a:r>
            <a:endParaRPr lang="en-US" b="0">
              <a:solidFill>
                <a:schemeClr val="tx1"/>
              </a:solidFill>
              <a:latin typeface="Harlow Solid Italic" panose="04030604020F02020D02" pitchFamily="8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doughnutChart>
        <c:varyColors val="1"/>
        <c:ser>
          <c:idx val="0"/>
          <c:order val="0"/>
          <c:spPr>
            <a:solidFill>
              <a:srgbClr val="4375E5"/>
            </a:solidFill>
            <a:ln>
              <a:solidFill>
                <a:schemeClr val="tx1"/>
              </a:solidFill>
            </a:ln>
          </c:spPr>
          <c:dPt>
            <c:idx val="0"/>
            <c:bubble3D val="0"/>
            <c:spPr>
              <a:solidFill>
                <a:srgbClr val="4375E5"/>
              </a:solidFill>
              <a:ln w="19050">
                <a:solidFill>
                  <a:schemeClr val="tx1"/>
                </a:solidFill>
              </a:ln>
              <a:effectLst/>
            </c:spPr>
            <c:extLst>
              <c:ext xmlns:c16="http://schemas.microsoft.com/office/drawing/2014/chart" uri="{C3380CC4-5D6E-409C-BE32-E72D297353CC}">
                <c16:uniqueId val="{00000001-FAF7-425B-92D4-477A23742028}"/>
              </c:ext>
            </c:extLst>
          </c:dPt>
          <c:dPt>
            <c:idx val="1"/>
            <c:bubble3D val="0"/>
            <c:spPr>
              <a:solidFill>
                <a:srgbClr val="F67AD3"/>
              </a:solidFill>
              <a:ln w="19050">
                <a:solidFill>
                  <a:schemeClr val="tx1"/>
                </a:solidFill>
              </a:ln>
              <a:effectLst/>
            </c:spPr>
            <c:extLst>
              <c:ext xmlns:c16="http://schemas.microsoft.com/office/drawing/2014/chart" uri="{C3380CC4-5D6E-409C-BE32-E72D297353CC}">
                <c16:uniqueId val="{00000003-FAF7-425B-92D4-477A23742028}"/>
              </c:ext>
            </c:extLst>
          </c:dPt>
          <c:dLbls>
            <c:spPr>
              <a:noFill/>
              <a:ln>
                <a:noFill/>
              </a:ln>
              <a:effectLst/>
            </c:spPr>
            <c:txPr>
              <a:bodyPr rot="0" spcFirstLastPara="1" vertOverflow="overflow" horzOverflow="overflow" vert="horz" wrap="square" lIns="38100" tIns="19050" rIns="38100" bIns="19050" anchor="ctr" anchorCtr="1">
                <a:spAutoFit/>
              </a:bodyPr>
              <a:lstStyle/>
              <a:p>
                <a:pPr>
                  <a:defRPr sz="1100" b="0" i="0" u="none" strike="noStrike" kern="1200" baseline="0">
                    <a:solidFill>
                      <a:schemeClr val="tx1"/>
                    </a:solidFill>
                    <a:latin typeface="+mn-lt"/>
                    <a:ea typeface="+mn-ea"/>
                    <a:cs typeface="+mn-cs"/>
                  </a:defRPr>
                </a:pPr>
                <a:endParaRPr lang="en-US"/>
              </a:p>
            </c:txPr>
            <c:showLegendKey val="0"/>
            <c:showVal val="0"/>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Calculations!$M$6:$M$7</c:f>
              <c:strCache>
                <c:ptCount val="2"/>
                <c:pt idx="0">
                  <c:v>M</c:v>
                </c:pt>
                <c:pt idx="1">
                  <c:v>F</c:v>
                </c:pt>
              </c:strCache>
            </c:strRef>
          </c:cat>
          <c:val>
            <c:numRef>
              <c:f>Calculations!$O$6:$O$7</c:f>
              <c:numCache>
                <c:formatCode>0%</c:formatCode>
                <c:ptCount val="2"/>
                <c:pt idx="0">
                  <c:v>0.6</c:v>
                </c:pt>
                <c:pt idx="1">
                  <c:v>0.4</c:v>
                </c:pt>
              </c:numCache>
            </c:numRef>
          </c:val>
          <c:extLst>
            <c:ext xmlns:c16="http://schemas.microsoft.com/office/drawing/2014/chart" uri="{C3380CC4-5D6E-409C-BE32-E72D297353CC}">
              <c16:uniqueId val="{00000004-FAF7-425B-92D4-477A23742028}"/>
            </c:ext>
          </c:extLst>
        </c:ser>
        <c:dLbls>
          <c:showLegendKey val="0"/>
          <c:showVal val="0"/>
          <c:showCatName val="0"/>
          <c:showSerName val="0"/>
          <c:showPercent val="0"/>
          <c:showBubbleSize val="0"/>
          <c:showLeaderLines val="0"/>
        </c:dLbls>
        <c:firstSliceAng val="0"/>
        <c:holeSize val="45"/>
      </c:doughnut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11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lumMod val="50000"/>
        <a:lumOff val="5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solidFill>
                <a:latin typeface="Harlow Solid Italic" panose="04030604020F02020D02" pitchFamily="82" charset="0"/>
                <a:ea typeface="+mn-ea"/>
                <a:cs typeface="+mn-cs"/>
              </a:defRPr>
            </a:pPr>
            <a:r>
              <a:rPr lang="en-US" baseline="0">
                <a:solidFill>
                  <a:schemeClr val="tx1"/>
                </a:solidFill>
                <a:latin typeface="Harlow Solid Italic" panose="04030604020F02020D02" pitchFamily="82" charset="0"/>
              </a:rPr>
              <a:t>Age Plotted against Years with Bank</a:t>
            </a:r>
            <a:endParaRPr lang="en-US">
              <a:solidFill>
                <a:schemeClr val="tx1"/>
              </a:solidFill>
              <a:latin typeface="Harlow Solid Italic" panose="04030604020F02020D02" pitchFamily="82" charset="0"/>
            </a:endParaRPr>
          </a:p>
        </c:rich>
      </c:tx>
      <c:layout>
        <c:manualLayout>
          <c:xMode val="edge"/>
          <c:yMode val="edge"/>
          <c:x val="0.22351377952755902"/>
          <c:y val="3.240740740740740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solidFill>
              <a:latin typeface="Harlow Solid Italic" panose="04030604020F02020D02" pitchFamily="82" charset="0"/>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tx1"/>
                </a:solidFill>
              </a:ln>
              <a:effectLst/>
            </c:spPr>
          </c:marker>
          <c:xVal>
            <c:numRef>
              <c:f>DATA!$H$3:$H$67</c:f>
              <c:numCache>
                <c:formatCode>0</c:formatCode>
                <c:ptCount val="65"/>
                <c:pt idx="0">
                  <c:v>86</c:v>
                </c:pt>
                <c:pt idx="1">
                  <c:v>85</c:v>
                </c:pt>
                <c:pt idx="2">
                  <c:v>82</c:v>
                </c:pt>
                <c:pt idx="3">
                  <c:v>82</c:v>
                </c:pt>
                <c:pt idx="4">
                  <c:v>81</c:v>
                </c:pt>
                <c:pt idx="5">
                  <c:v>79</c:v>
                </c:pt>
                <c:pt idx="6">
                  <c:v>75</c:v>
                </c:pt>
                <c:pt idx="7">
                  <c:v>73</c:v>
                </c:pt>
                <c:pt idx="8">
                  <c:v>73</c:v>
                </c:pt>
                <c:pt idx="9">
                  <c:v>71</c:v>
                </c:pt>
                <c:pt idx="10">
                  <c:v>69</c:v>
                </c:pt>
                <c:pt idx="11">
                  <c:v>68</c:v>
                </c:pt>
                <c:pt idx="12">
                  <c:v>68</c:v>
                </c:pt>
                <c:pt idx="13">
                  <c:v>67</c:v>
                </c:pt>
                <c:pt idx="14">
                  <c:v>67</c:v>
                </c:pt>
                <c:pt idx="15">
                  <c:v>67</c:v>
                </c:pt>
                <c:pt idx="16">
                  <c:v>67</c:v>
                </c:pt>
                <c:pt idx="17">
                  <c:v>66</c:v>
                </c:pt>
                <c:pt idx="18">
                  <c:v>65</c:v>
                </c:pt>
                <c:pt idx="19">
                  <c:v>65</c:v>
                </c:pt>
                <c:pt idx="20">
                  <c:v>64</c:v>
                </c:pt>
                <c:pt idx="21">
                  <c:v>63</c:v>
                </c:pt>
                <c:pt idx="22">
                  <c:v>63</c:v>
                </c:pt>
                <c:pt idx="23">
                  <c:v>62</c:v>
                </c:pt>
                <c:pt idx="24">
                  <c:v>61</c:v>
                </c:pt>
                <c:pt idx="25">
                  <c:v>60</c:v>
                </c:pt>
                <c:pt idx="26">
                  <c:v>59</c:v>
                </c:pt>
                <c:pt idx="27">
                  <c:v>59</c:v>
                </c:pt>
                <c:pt idx="28">
                  <c:v>59</c:v>
                </c:pt>
                <c:pt idx="29">
                  <c:v>58</c:v>
                </c:pt>
                <c:pt idx="30">
                  <c:v>58</c:v>
                </c:pt>
                <c:pt idx="31">
                  <c:v>58</c:v>
                </c:pt>
                <c:pt idx="32">
                  <c:v>58</c:v>
                </c:pt>
                <c:pt idx="33">
                  <c:v>58</c:v>
                </c:pt>
                <c:pt idx="34">
                  <c:v>57</c:v>
                </c:pt>
                <c:pt idx="35">
                  <c:v>57</c:v>
                </c:pt>
                <c:pt idx="36">
                  <c:v>56</c:v>
                </c:pt>
                <c:pt idx="37">
                  <c:v>55</c:v>
                </c:pt>
                <c:pt idx="38">
                  <c:v>55</c:v>
                </c:pt>
                <c:pt idx="39">
                  <c:v>54</c:v>
                </c:pt>
                <c:pt idx="40">
                  <c:v>54</c:v>
                </c:pt>
                <c:pt idx="41">
                  <c:v>53</c:v>
                </c:pt>
                <c:pt idx="42">
                  <c:v>53</c:v>
                </c:pt>
                <c:pt idx="43">
                  <c:v>52</c:v>
                </c:pt>
                <c:pt idx="44">
                  <c:v>51</c:v>
                </c:pt>
                <c:pt idx="45">
                  <c:v>50</c:v>
                </c:pt>
                <c:pt idx="46">
                  <c:v>50</c:v>
                </c:pt>
                <c:pt idx="47">
                  <c:v>47</c:v>
                </c:pt>
                <c:pt idx="48">
                  <c:v>46</c:v>
                </c:pt>
                <c:pt idx="49">
                  <c:v>46</c:v>
                </c:pt>
                <c:pt idx="50">
                  <c:v>42</c:v>
                </c:pt>
                <c:pt idx="51">
                  <c:v>40</c:v>
                </c:pt>
                <c:pt idx="52">
                  <c:v>40</c:v>
                </c:pt>
                <c:pt idx="53">
                  <c:v>39</c:v>
                </c:pt>
                <c:pt idx="54">
                  <c:v>38</c:v>
                </c:pt>
                <c:pt idx="55">
                  <c:v>38</c:v>
                </c:pt>
                <c:pt idx="56">
                  <c:v>36</c:v>
                </c:pt>
                <c:pt idx="57">
                  <c:v>36</c:v>
                </c:pt>
                <c:pt idx="58">
                  <c:v>36</c:v>
                </c:pt>
                <c:pt idx="59">
                  <c:v>35</c:v>
                </c:pt>
                <c:pt idx="60">
                  <c:v>34</c:v>
                </c:pt>
                <c:pt idx="61">
                  <c:v>34</c:v>
                </c:pt>
                <c:pt idx="62">
                  <c:v>32</c:v>
                </c:pt>
                <c:pt idx="63">
                  <c:v>31</c:v>
                </c:pt>
                <c:pt idx="64">
                  <c:v>21</c:v>
                </c:pt>
              </c:numCache>
            </c:numRef>
          </c:xVal>
          <c:yVal>
            <c:numRef>
              <c:f>DATA!$N$3:$N$67</c:f>
              <c:numCache>
                <c:formatCode>00</c:formatCode>
                <c:ptCount val="65"/>
                <c:pt idx="0">
                  <c:v>52</c:v>
                </c:pt>
                <c:pt idx="1">
                  <c:v>33</c:v>
                </c:pt>
                <c:pt idx="2">
                  <c:v>29</c:v>
                </c:pt>
                <c:pt idx="3">
                  <c:v>27</c:v>
                </c:pt>
                <c:pt idx="4">
                  <c:v>47</c:v>
                </c:pt>
                <c:pt idx="5">
                  <c:v>26</c:v>
                </c:pt>
                <c:pt idx="6">
                  <c:v>13</c:v>
                </c:pt>
                <c:pt idx="7">
                  <c:v>15</c:v>
                </c:pt>
                <c:pt idx="8">
                  <c:v>8</c:v>
                </c:pt>
                <c:pt idx="9">
                  <c:v>10</c:v>
                </c:pt>
                <c:pt idx="10">
                  <c:v>37</c:v>
                </c:pt>
                <c:pt idx="11">
                  <c:v>37</c:v>
                </c:pt>
                <c:pt idx="12">
                  <c:v>36</c:v>
                </c:pt>
                <c:pt idx="13">
                  <c:v>34</c:v>
                </c:pt>
                <c:pt idx="14">
                  <c:v>7</c:v>
                </c:pt>
                <c:pt idx="15">
                  <c:v>0</c:v>
                </c:pt>
                <c:pt idx="16">
                  <c:v>2</c:v>
                </c:pt>
                <c:pt idx="17">
                  <c:v>24</c:v>
                </c:pt>
                <c:pt idx="18">
                  <c:v>0</c:v>
                </c:pt>
                <c:pt idx="19">
                  <c:v>1</c:v>
                </c:pt>
                <c:pt idx="20">
                  <c:v>14</c:v>
                </c:pt>
                <c:pt idx="21">
                  <c:v>32</c:v>
                </c:pt>
                <c:pt idx="22">
                  <c:v>27</c:v>
                </c:pt>
                <c:pt idx="23">
                  <c:v>0</c:v>
                </c:pt>
                <c:pt idx="24">
                  <c:v>4</c:v>
                </c:pt>
                <c:pt idx="25">
                  <c:v>41</c:v>
                </c:pt>
                <c:pt idx="26">
                  <c:v>29</c:v>
                </c:pt>
                <c:pt idx="27">
                  <c:v>31</c:v>
                </c:pt>
                <c:pt idx="28">
                  <c:v>29</c:v>
                </c:pt>
                <c:pt idx="29">
                  <c:v>31</c:v>
                </c:pt>
                <c:pt idx="30">
                  <c:v>8</c:v>
                </c:pt>
                <c:pt idx="31">
                  <c:v>11</c:v>
                </c:pt>
                <c:pt idx="32">
                  <c:v>29</c:v>
                </c:pt>
                <c:pt idx="33">
                  <c:v>0</c:v>
                </c:pt>
                <c:pt idx="34">
                  <c:v>17</c:v>
                </c:pt>
                <c:pt idx="35">
                  <c:v>2</c:v>
                </c:pt>
                <c:pt idx="36">
                  <c:v>3</c:v>
                </c:pt>
                <c:pt idx="37">
                  <c:v>20</c:v>
                </c:pt>
                <c:pt idx="38">
                  <c:v>22</c:v>
                </c:pt>
                <c:pt idx="39">
                  <c:v>0</c:v>
                </c:pt>
                <c:pt idx="40">
                  <c:v>13</c:v>
                </c:pt>
                <c:pt idx="41">
                  <c:v>0</c:v>
                </c:pt>
                <c:pt idx="42">
                  <c:v>28</c:v>
                </c:pt>
                <c:pt idx="43">
                  <c:v>14</c:v>
                </c:pt>
                <c:pt idx="44">
                  <c:v>4</c:v>
                </c:pt>
                <c:pt idx="45">
                  <c:v>6</c:v>
                </c:pt>
                <c:pt idx="46">
                  <c:v>27</c:v>
                </c:pt>
                <c:pt idx="47">
                  <c:v>16</c:v>
                </c:pt>
                <c:pt idx="48">
                  <c:v>13</c:v>
                </c:pt>
                <c:pt idx="49">
                  <c:v>8</c:v>
                </c:pt>
                <c:pt idx="50">
                  <c:v>7</c:v>
                </c:pt>
                <c:pt idx="51">
                  <c:v>7</c:v>
                </c:pt>
                <c:pt idx="52">
                  <c:v>6</c:v>
                </c:pt>
                <c:pt idx="53">
                  <c:v>6</c:v>
                </c:pt>
                <c:pt idx="54">
                  <c:v>19</c:v>
                </c:pt>
                <c:pt idx="55">
                  <c:v>4</c:v>
                </c:pt>
                <c:pt idx="56">
                  <c:v>11</c:v>
                </c:pt>
                <c:pt idx="57">
                  <c:v>2</c:v>
                </c:pt>
                <c:pt idx="58">
                  <c:v>14</c:v>
                </c:pt>
                <c:pt idx="59">
                  <c:v>16</c:v>
                </c:pt>
                <c:pt idx="60">
                  <c:v>13</c:v>
                </c:pt>
                <c:pt idx="61">
                  <c:v>0</c:v>
                </c:pt>
                <c:pt idx="62">
                  <c:v>8</c:v>
                </c:pt>
                <c:pt idx="63">
                  <c:v>13</c:v>
                </c:pt>
                <c:pt idx="64">
                  <c:v>5</c:v>
                </c:pt>
              </c:numCache>
            </c:numRef>
          </c:yVal>
          <c:smooth val="0"/>
          <c:extLst>
            <c:ext xmlns:c16="http://schemas.microsoft.com/office/drawing/2014/chart" uri="{C3380CC4-5D6E-409C-BE32-E72D297353CC}">
              <c16:uniqueId val="{00000000-80DB-4A09-A7EB-AC826FD45894}"/>
            </c:ext>
          </c:extLst>
        </c:ser>
        <c:dLbls>
          <c:showLegendKey val="0"/>
          <c:showVal val="0"/>
          <c:showCatName val="0"/>
          <c:showSerName val="0"/>
          <c:showPercent val="0"/>
          <c:showBubbleSize val="0"/>
        </c:dLbls>
        <c:axId val="591519256"/>
        <c:axId val="769932272"/>
      </c:scatterChart>
      <c:valAx>
        <c:axId val="591519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r>
                  <a:rPr lang="en-US" sz="1100">
                    <a:solidFill>
                      <a:schemeClr val="tx1"/>
                    </a:solidFill>
                  </a:rPr>
                  <a:t>Age</a:t>
                </a:r>
                <a:r>
                  <a:rPr lang="en-US" sz="1100" baseline="0">
                    <a:solidFill>
                      <a:schemeClr val="tx1"/>
                    </a:solidFill>
                  </a:rPr>
                  <a:t> in Yrs</a:t>
                </a:r>
                <a:endParaRPr lang="en-US" sz="1100">
                  <a:solidFill>
                    <a:schemeClr val="tx1"/>
                  </a:solidFill>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769932272"/>
        <c:crosses val="autoZero"/>
        <c:crossBetween val="midCat"/>
      </c:valAx>
      <c:valAx>
        <c:axId val="76993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mn-lt"/>
                    <a:ea typeface="+mn-ea"/>
                    <a:cs typeface="+mn-cs"/>
                  </a:defRPr>
                </a:pPr>
                <a:r>
                  <a:rPr lang="en-US" sz="1100">
                    <a:solidFill>
                      <a:schemeClr val="tx1"/>
                    </a:solidFill>
                  </a:rPr>
                  <a:t>Yrs</a:t>
                </a:r>
                <a:r>
                  <a:rPr lang="en-US" sz="1100" baseline="0">
                    <a:solidFill>
                      <a:schemeClr val="tx1"/>
                    </a:solidFill>
                  </a:rPr>
                  <a:t> with Bank</a:t>
                </a:r>
                <a:endParaRPr lang="en-US" sz="1100">
                  <a:solidFill>
                    <a:schemeClr val="tx1"/>
                  </a:solidFill>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915192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lumMod val="50000"/>
        <a:lumOff val="50000"/>
      </a:schemeClr>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[Credit Card Analytics.xlsx]PivotTable!PivotTable</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rgbClr val="00B0F0"/>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PivotTable!$B$7:$B$8</c:f>
              <c:strCache>
                <c:ptCount val="1"/>
                <c:pt idx="0">
                  <c:v>APTOS</c:v>
                </c:pt>
              </c:strCache>
            </c:strRef>
          </c:tx>
          <c:spPr>
            <a:solidFill>
              <a:schemeClr val="accent1"/>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PivotTable!$B$9:$B$13</c:f>
              <c:numCache>
                <c:formatCode>General</c:formatCode>
                <c:ptCount val="4"/>
                <c:pt idx="1">
                  <c:v>1</c:v>
                </c:pt>
              </c:numCache>
            </c:numRef>
          </c:val>
          <c:extLst>
            <c:ext xmlns:c16="http://schemas.microsoft.com/office/drawing/2014/chart" uri="{C3380CC4-5D6E-409C-BE32-E72D297353CC}">
              <c16:uniqueId val="{00000000-27FC-4E36-9940-825085320BAF}"/>
            </c:ext>
          </c:extLst>
        </c:ser>
        <c:ser>
          <c:idx val="1"/>
          <c:order val="1"/>
          <c:tx>
            <c:strRef>
              <c:f>PivotTable!$C$7:$C$8</c:f>
              <c:strCache>
                <c:ptCount val="1"/>
                <c:pt idx="0">
                  <c:v>CAPITOLA</c:v>
                </c:pt>
              </c:strCache>
            </c:strRef>
          </c:tx>
          <c:spPr>
            <a:solidFill>
              <a:schemeClr val="accent2"/>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PivotTable!$C$9:$C$13</c:f>
              <c:numCache>
                <c:formatCode>General</c:formatCode>
                <c:ptCount val="4"/>
                <c:pt idx="0">
                  <c:v>2</c:v>
                </c:pt>
                <c:pt idx="1">
                  <c:v>28</c:v>
                </c:pt>
                <c:pt idx="2">
                  <c:v>2</c:v>
                </c:pt>
                <c:pt idx="3">
                  <c:v>1</c:v>
                </c:pt>
              </c:numCache>
            </c:numRef>
          </c:val>
          <c:extLst>
            <c:ext xmlns:c16="http://schemas.microsoft.com/office/drawing/2014/chart" uri="{C3380CC4-5D6E-409C-BE32-E72D297353CC}">
              <c16:uniqueId val="{00000001-27FC-4E36-9940-825085320BAF}"/>
            </c:ext>
          </c:extLst>
        </c:ser>
        <c:ser>
          <c:idx val="2"/>
          <c:order val="2"/>
          <c:tx>
            <c:strRef>
              <c:f>PivotTable!$D$7:$D$8</c:f>
              <c:strCache>
                <c:ptCount val="1"/>
                <c:pt idx="0">
                  <c:v>EAST SANTA CRUZ</c:v>
                </c:pt>
              </c:strCache>
            </c:strRef>
          </c:tx>
          <c:spPr>
            <a:solidFill>
              <a:schemeClr val="accent3"/>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PivotTable!$D$9:$D$13</c:f>
              <c:numCache>
                <c:formatCode>General</c:formatCode>
                <c:ptCount val="4"/>
                <c:pt idx="0">
                  <c:v>2</c:v>
                </c:pt>
                <c:pt idx="1">
                  <c:v>2</c:v>
                </c:pt>
                <c:pt idx="2">
                  <c:v>3</c:v>
                </c:pt>
                <c:pt idx="3">
                  <c:v>1</c:v>
                </c:pt>
              </c:numCache>
            </c:numRef>
          </c:val>
          <c:extLst>
            <c:ext xmlns:c16="http://schemas.microsoft.com/office/drawing/2014/chart" uri="{C3380CC4-5D6E-409C-BE32-E72D297353CC}">
              <c16:uniqueId val="{00000002-27FC-4E36-9940-825085320BAF}"/>
            </c:ext>
          </c:extLst>
        </c:ser>
        <c:ser>
          <c:idx val="3"/>
          <c:order val="3"/>
          <c:tx>
            <c:strRef>
              <c:f>PivotTable!$E$7:$E$8</c:f>
              <c:strCache>
                <c:ptCount val="1"/>
                <c:pt idx="0">
                  <c:v>SALINAS</c:v>
                </c:pt>
              </c:strCache>
            </c:strRef>
          </c:tx>
          <c:spPr>
            <a:solidFill>
              <a:schemeClr val="accent4"/>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PivotTable!$E$9:$E$13</c:f>
              <c:numCache>
                <c:formatCode>General</c:formatCode>
                <c:ptCount val="4"/>
                <c:pt idx="1">
                  <c:v>1</c:v>
                </c:pt>
              </c:numCache>
            </c:numRef>
          </c:val>
          <c:extLst>
            <c:ext xmlns:c16="http://schemas.microsoft.com/office/drawing/2014/chart" uri="{C3380CC4-5D6E-409C-BE32-E72D297353CC}">
              <c16:uniqueId val="{00000003-27FC-4E36-9940-825085320BAF}"/>
            </c:ext>
          </c:extLst>
        </c:ser>
        <c:ser>
          <c:idx val="4"/>
          <c:order val="4"/>
          <c:tx>
            <c:strRef>
              <c:f>PivotTable!$F$7:$F$8</c:f>
              <c:strCache>
                <c:ptCount val="1"/>
                <c:pt idx="0">
                  <c:v>SANTA CRUZ MAIN</c:v>
                </c:pt>
              </c:strCache>
            </c:strRef>
          </c:tx>
          <c:spPr>
            <a:solidFill>
              <a:schemeClr val="accent5"/>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PivotTable!$F$9:$F$13</c:f>
              <c:numCache>
                <c:formatCode>General</c:formatCode>
                <c:ptCount val="4"/>
                <c:pt idx="0">
                  <c:v>3</c:v>
                </c:pt>
                <c:pt idx="1">
                  <c:v>9</c:v>
                </c:pt>
                <c:pt idx="3">
                  <c:v>1</c:v>
                </c:pt>
              </c:numCache>
            </c:numRef>
          </c:val>
          <c:extLst>
            <c:ext xmlns:c16="http://schemas.microsoft.com/office/drawing/2014/chart" uri="{C3380CC4-5D6E-409C-BE32-E72D297353CC}">
              <c16:uniqueId val="{00000004-27FC-4E36-9940-825085320BAF}"/>
            </c:ext>
          </c:extLst>
        </c:ser>
        <c:ser>
          <c:idx val="5"/>
          <c:order val="5"/>
          <c:tx>
            <c:strRef>
              <c:f>PivotTable!$G$7:$G$8</c:f>
              <c:strCache>
                <c:ptCount val="1"/>
                <c:pt idx="0">
                  <c:v>SARATOGA</c:v>
                </c:pt>
              </c:strCache>
            </c:strRef>
          </c:tx>
          <c:spPr>
            <a:solidFill>
              <a:schemeClr val="accent6"/>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PivotTable!$G$9:$G$13</c:f>
              <c:numCache>
                <c:formatCode>General</c:formatCode>
                <c:ptCount val="4"/>
                <c:pt idx="3">
                  <c:v>1</c:v>
                </c:pt>
              </c:numCache>
            </c:numRef>
          </c:val>
          <c:extLst>
            <c:ext xmlns:c16="http://schemas.microsoft.com/office/drawing/2014/chart" uri="{C3380CC4-5D6E-409C-BE32-E72D297353CC}">
              <c16:uniqueId val="{00000005-27FC-4E36-9940-825085320BAF}"/>
            </c:ext>
          </c:extLst>
        </c:ser>
        <c:ser>
          <c:idx val="6"/>
          <c:order val="6"/>
          <c:tx>
            <c:strRef>
              <c:f>PivotTable!$H$7:$H$8</c:f>
              <c:strCache>
                <c:ptCount val="1"/>
                <c:pt idx="0">
                  <c:v>SCOTTS VALLEY</c:v>
                </c:pt>
              </c:strCache>
            </c:strRef>
          </c:tx>
          <c:spPr>
            <a:solidFill>
              <a:schemeClr val="accent1">
                <a:lumMod val="60000"/>
              </a:schemeClr>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PivotTable!$H$9:$H$13</c:f>
              <c:numCache>
                <c:formatCode>General</c:formatCode>
                <c:ptCount val="4"/>
                <c:pt idx="0">
                  <c:v>1</c:v>
                </c:pt>
                <c:pt idx="1">
                  <c:v>1</c:v>
                </c:pt>
              </c:numCache>
            </c:numRef>
          </c:val>
          <c:extLst>
            <c:ext xmlns:c16="http://schemas.microsoft.com/office/drawing/2014/chart" uri="{C3380CC4-5D6E-409C-BE32-E72D297353CC}">
              <c16:uniqueId val="{00000006-27FC-4E36-9940-825085320BAF}"/>
            </c:ext>
          </c:extLst>
        </c:ser>
        <c:ser>
          <c:idx val="7"/>
          <c:order val="7"/>
          <c:tx>
            <c:strRef>
              <c:f>PivotTable!$I$7:$I$8</c:f>
              <c:strCache>
                <c:ptCount val="1"/>
                <c:pt idx="0">
                  <c:v>UNASSIGNED</c:v>
                </c:pt>
              </c:strCache>
            </c:strRef>
          </c:tx>
          <c:spPr>
            <a:solidFill>
              <a:schemeClr val="accent2">
                <a:lumMod val="60000"/>
              </a:schemeClr>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PivotTable!$I$9:$I$13</c:f>
              <c:numCache>
                <c:formatCode>General</c:formatCode>
                <c:ptCount val="4"/>
                <c:pt idx="1">
                  <c:v>1</c:v>
                </c:pt>
                <c:pt idx="2">
                  <c:v>1</c:v>
                </c:pt>
              </c:numCache>
            </c:numRef>
          </c:val>
          <c:extLst>
            <c:ext xmlns:c16="http://schemas.microsoft.com/office/drawing/2014/chart" uri="{C3380CC4-5D6E-409C-BE32-E72D297353CC}">
              <c16:uniqueId val="{00000007-27FC-4E36-9940-825085320BAF}"/>
            </c:ext>
          </c:extLst>
        </c:ser>
        <c:ser>
          <c:idx val="8"/>
          <c:order val="8"/>
          <c:tx>
            <c:strRef>
              <c:f>PivotTable!$J$7:$J$8</c:f>
              <c:strCache>
                <c:ptCount val="1"/>
                <c:pt idx="0">
                  <c:v>WATSONVILLE</c:v>
                </c:pt>
              </c:strCache>
            </c:strRef>
          </c:tx>
          <c:spPr>
            <a:solidFill>
              <a:srgbClr val="00B0F0"/>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PivotTable!$J$9:$J$13</c:f>
              <c:numCache>
                <c:formatCode>General</c:formatCode>
                <c:ptCount val="4"/>
                <c:pt idx="1">
                  <c:v>2</c:v>
                </c:pt>
                <c:pt idx="2">
                  <c:v>1</c:v>
                </c:pt>
              </c:numCache>
            </c:numRef>
          </c:val>
          <c:extLst>
            <c:ext xmlns:c16="http://schemas.microsoft.com/office/drawing/2014/chart" uri="{C3380CC4-5D6E-409C-BE32-E72D297353CC}">
              <c16:uniqueId val="{00000008-27FC-4E36-9940-825085320BAF}"/>
            </c:ext>
          </c:extLst>
        </c:ser>
        <c:ser>
          <c:idx val="9"/>
          <c:order val="9"/>
          <c:tx>
            <c:strRef>
              <c:f>PivotTable!$K$7:$K$8</c:f>
              <c:strCache>
                <c:ptCount val="1"/>
                <c:pt idx="0">
                  <c:v>WILLOW GLEN</c:v>
                </c:pt>
              </c:strCache>
            </c:strRef>
          </c:tx>
          <c:spPr>
            <a:solidFill>
              <a:schemeClr val="accent4">
                <a:lumMod val="60000"/>
              </a:schemeClr>
            </a:solidFill>
            <a:ln>
              <a:noFill/>
            </a:ln>
            <a:effectLst/>
          </c:spPr>
          <c:invertIfNegative val="0"/>
          <c:cat>
            <c:strRef>
              <c:f>PivotTable!$A$9:$A$13</c:f>
              <c:strCache>
                <c:ptCount val="4"/>
                <c:pt idx="0">
                  <c:v>Secured Visa</c:v>
                </c:pt>
                <c:pt idx="1">
                  <c:v>Visa Platinum</c:v>
                </c:pt>
                <c:pt idx="2">
                  <c:v>Visa Signature Everyday Rewards</c:v>
                </c:pt>
                <c:pt idx="3">
                  <c:v>Visa Signature Max Cash Preferred</c:v>
                </c:pt>
              </c:strCache>
            </c:strRef>
          </c:cat>
          <c:val>
            <c:numRef>
              <c:f>PivotTable!$K$9:$K$13</c:f>
              <c:numCache>
                <c:formatCode>General</c:formatCode>
                <c:ptCount val="4"/>
                <c:pt idx="0">
                  <c:v>1</c:v>
                </c:pt>
              </c:numCache>
            </c:numRef>
          </c:val>
          <c:extLst>
            <c:ext xmlns:c16="http://schemas.microsoft.com/office/drawing/2014/chart" uri="{C3380CC4-5D6E-409C-BE32-E72D297353CC}">
              <c16:uniqueId val="{00000009-27FC-4E36-9940-825085320BAF}"/>
            </c:ext>
          </c:extLst>
        </c:ser>
        <c:dLbls>
          <c:showLegendKey val="0"/>
          <c:showVal val="0"/>
          <c:showCatName val="0"/>
          <c:showSerName val="0"/>
          <c:showPercent val="0"/>
          <c:showBubbleSize val="0"/>
        </c:dLbls>
        <c:gapWidth val="150"/>
        <c:overlap val="100"/>
        <c:axId val="307204424"/>
        <c:axId val="307201472"/>
      </c:barChart>
      <c:catAx>
        <c:axId val="307204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07201472"/>
        <c:crosses val="autoZero"/>
        <c:auto val="1"/>
        <c:lblAlgn val="ctr"/>
        <c:lblOffset val="100"/>
        <c:noMultiLvlLbl val="0"/>
      </c:catAx>
      <c:valAx>
        <c:axId val="30720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07204424"/>
        <c:crosses val="autoZero"/>
        <c:crossBetween val="between"/>
      </c:valAx>
      <c:spPr>
        <a:noFill/>
        <a:ln>
          <a:noFill/>
        </a:ln>
        <a:effectLst/>
      </c:spPr>
    </c:plotArea>
    <c:legend>
      <c:legendPos val="r"/>
      <c:layout>
        <c:manualLayout>
          <c:xMode val="edge"/>
          <c:yMode val="edge"/>
          <c:x val="0.74522126092263152"/>
          <c:y val="0.11110928842228054"/>
          <c:w val="0.23831783372757417"/>
          <c:h val="0.836945538057742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tx1">
        <a:lumMod val="50000"/>
        <a:lumOff val="50000"/>
      </a:schemeClr>
    </a:solidFill>
    <a:ln w="9525" cap="flat" cmpd="sng" algn="ctr">
      <a:solidFill>
        <a:schemeClr val="tx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DATA!$H$3:$H$67</cx:f>
        <cx:lvl ptCount="65" formatCode="0">
          <cx:pt idx="0">54</cx:pt>
          <cx:pt idx="1">81</cx:pt>
          <cx:pt idx="2">53</cx:pt>
          <cx:pt idx="3">61</cx:pt>
          <cx:pt idx="4">79</cx:pt>
          <cx:pt idx="5">51</cx:pt>
          <cx:pt idx="6">36</cx:pt>
          <cx:pt idx="7">21</cx:pt>
          <cx:pt idx="8">63</cx:pt>
          <cx:pt idx="9">73</cx:pt>
          <cx:pt idx="10">82</cx:pt>
          <cx:pt idx="11">50</cx:pt>
          <cx:pt idx="12">67</cx:pt>
          <cx:pt idx="13">73</cx:pt>
          <cx:pt idx="14">59</cx:pt>
          <cx:pt idx="15">64</cx:pt>
          <cx:pt idx="16">82</cx:pt>
          <cx:pt idx="17">39</cx:pt>
          <cx:pt idx="18">86</cx:pt>
          <cx:pt idx="19">75</cx:pt>
          <cx:pt idx="20">63</cx:pt>
          <cx:pt idx="21">65</cx:pt>
          <cx:pt idx="22">59</cx:pt>
          <cx:pt idx="23">69</cx:pt>
          <cx:pt idx="24">68</cx:pt>
          <cx:pt idx="25">53</cx:pt>
          <cx:pt idx="26">60</cx:pt>
          <cx:pt idx="27">67</cx:pt>
          <cx:pt idx="28">58</cx:pt>
          <cx:pt idx="29">47</cx:pt>
          <cx:pt idx="30">57</cx:pt>
          <cx:pt idx="31">67</cx:pt>
          <cx:pt idx="32">46</cx:pt>
          <cx:pt idx="33">52</cx:pt>
          <cx:pt idx="34">32</cx:pt>
          <cx:pt idx="35">58</cx:pt>
          <cx:pt idx="36">68</cx:pt>
          <cx:pt idx="37">65</cx:pt>
          <cx:pt idx="38">36</cx:pt>
          <cx:pt idx="39">55</cx:pt>
          <cx:pt idx="40">40</cx:pt>
          <cx:pt idx="41">55</cx:pt>
          <cx:pt idx="42">34</cx:pt>
          <cx:pt idx="43">66</cx:pt>
          <cx:pt idx="44">58</cx:pt>
          <cx:pt idx="45">31</cx:pt>
          <cx:pt idx="46">58</cx:pt>
          <cx:pt idx="47">35</cx:pt>
          <cx:pt idx="48">34</cx:pt>
          <cx:pt idx="49">38</cx:pt>
          <cx:pt idx="50">67</cx:pt>
          <cx:pt idx="51">62</cx:pt>
          <cx:pt idx="52">42</cx:pt>
          <cx:pt idx="53">57</cx:pt>
          <cx:pt idx="54">50</cx:pt>
          <cx:pt idx="55">85</cx:pt>
          <cx:pt idx="56">40</cx:pt>
          <cx:pt idx="57">54</cx:pt>
          <cx:pt idx="58">59</cx:pt>
          <cx:pt idx="59">38</cx:pt>
          <cx:pt idx="60">56</cx:pt>
          <cx:pt idx="61">58</cx:pt>
          <cx:pt idx="62">46</cx:pt>
          <cx:pt idx="63">71</cx:pt>
          <cx:pt idx="64">36</cx:pt>
        </cx:lvl>
      </cx:numDim>
    </cx:data>
  </cx:chartData>
  <cx:chart>
    <cx:title pos="t" align="ctr" overlay="0">
      <cx:tx>
        <cx:txData>
          <cx:v>Distribution of Ages</cx:v>
        </cx:txData>
      </cx:tx>
      <cx:spPr>
        <a:solidFill>
          <a:schemeClr val="tx1">
            <a:lumMod val="50000"/>
            <a:lumOff val="50000"/>
          </a:schemeClr>
        </a:solidFill>
      </cx:spPr>
      <cx:txPr>
        <a:bodyPr spcFirstLastPara="1" vertOverflow="ellipsis" horzOverflow="overflow" wrap="square" lIns="0" tIns="0" rIns="0" bIns="0" anchor="ctr" anchorCtr="1"/>
        <a:lstStyle/>
        <a:p>
          <a:pPr algn="ctr" rtl="0">
            <a:defRPr/>
          </a:pPr>
          <a:r>
            <a:rPr lang="en-US" sz="1400" b="0" i="0" u="none" strike="noStrike" baseline="0">
              <a:solidFill>
                <a:schemeClr val="tx1"/>
              </a:solidFill>
              <a:latin typeface="Harlow Solid Italic" panose="04030604020F02020D02" pitchFamily="82" charset="0"/>
            </a:rPr>
            <a:t>Distribution of Ages</a:t>
          </a:r>
        </a:p>
      </cx:txPr>
    </cx:title>
    <cx:plotArea>
      <cx:plotAreaRegion>
        <cx:plotSurface>
          <cx:spPr>
            <a:solidFill>
              <a:schemeClr val="tx1">
                <a:lumMod val="50000"/>
                <a:lumOff val="50000"/>
              </a:schemeClr>
            </a:solidFill>
          </cx:spPr>
        </cx:plotSurface>
        <cx:series layoutId="clusteredColumn" uniqueId="{65930B06-68AB-4076-A3C9-A1B35CEE74F1}">
          <cx:spPr>
            <a:solidFill>
              <a:schemeClr val="accent1"/>
            </a:solidFill>
            <a:ln>
              <a:solidFill>
                <a:schemeClr val="tx1"/>
              </a:solidFill>
            </a:ln>
          </cx:spPr>
          <cx:dataId val="0"/>
          <cx:layoutPr>
            <cx:binning intervalClosed="r"/>
          </cx:layoutPr>
        </cx:series>
      </cx:plotAreaRegion>
      <cx:axis id="0">
        <cx:catScaling gapWidth="0"/>
        <cx:tickLabels/>
        <cx:spPr>
          <a:ln>
            <a:solidFill>
              <a:schemeClr val="tx1"/>
            </a:solidFill>
          </a:ln>
        </cx:spPr>
        <cx:txPr>
          <a:bodyPr spcFirstLastPara="1" vertOverflow="ellipsis" horzOverflow="overflow" wrap="square" lIns="0" tIns="0" rIns="0" bIns="0" anchor="ctr" anchorCtr="1"/>
          <a:lstStyle/>
          <a:p>
            <a:pPr algn="ctr" rtl="0">
              <a:defRPr sz="1100">
                <a:solidFill>
                  <a:schemeClr val="tx1"/>
                </a:solidFill>
              </a:defRPr>
            </a:pPr>
            <a:endParaRPr lang="en-US" sz="1100" b="0" i="0" u="none" strike="noStrike" baseline="0">
              <a:solidFill>
                <a:schemeClr val="tx1"/>
              </a:solidFill>
              <a:latin typeface="Calibri" panose="020F0502020204030204"/>
            </a:endParaRPr>
          </a:p>
        </cx:txPr>
      </cx:axis>
      <cx:axis id="1">
        <cx:valScaling/>
        <cx:majorGridlines/>
        <cx:tickLabels/>
        <cx:spPr>
          <a:ln w="12700">
            <a:solidFill>
              <a:schemeClr val="tx1"/>
            </a:solidFill>
          </a:ln>
        </cx:spPr>
        <cx:txPr>
          <a:bodyPr spcFirstLastPara="1" vertOverflow="ellipsis" horzOverflow="overflow" wrap="square" lIns="0" tIns="0" rIns="0" bIns="0" anchor="ctr" anchorCtr="1"/>
          <a:lstStyle/>
          <a:p>
            <a:pPr algn="ctr" rtl="0">
              <a:defRPr sz="1100">
                <a:ln>
                  <a:noFill/>
                </a:ln>
                <a:solidFill>
                  <a:schemeClr val="tx1"/>
                </a:solidFill>
                <a:effectLst/>
              </a:defRPr>
            </a:pPr>
            <a:endParaRPr lang="en-US" sz="1100" b="0" i="0" u="none" strike="noStrike" baseline="0">
              <a:ln>
                <a:noFill/>
              </a:ln>
              <a:solidFill>
                <a:schemeClr val="tx1"/>
              </a:solidFill>
              <a:effectLst/>
              <a:latin typeface="Calibri" panose="020F0502020204030204"/>
            </a:endParaRPr>
          </a:p>
        </cx:txPr>
      </cx:axis>
    </cx:plotArea>
  </cx:chart>
  <cx:spPr>
    <a:solidFill>
      <a:schemeClr val="tx1">
        <a:lumMod val="50000"/>
        <a:lumOff val="50000"/>
      </a:schemeClr>
    </a:solidFill>
    <a:ln>
      <a:solidFill>
        <a:schemeClr val="tx1"/>
      </a:solid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DATA!$M$3:$M$67</cx:f>
        <cx:lvl ptCount="65" formatCode="00.00">
          <cx:pt idx="0">0.83888888888888891</cx:pt>
          <cx:pt idx="1">47.677777777777777</cx:pt>
          <cx:pt idx="2">0.56111111111111112</cx:pt>
          <cx:pt idx="3">4.8694444444444445</cx:pt>
          <cx:pt idx="4">26.613888888888887</cx:pt>
          <cx:pt idx="5">4.9000000000000004</cx:pt>
          <cx:pt idx="6">11.427777777777777</cx:pt>
          <cx:pt idx="7">5.2194444444444441</cx:pt>
          <cx:pt idx="8">32.513888888888886</cx:pt>
          <cx:pt idx="9">15.052777777777777</cx:pt>
          <cx:pt idx="10">29.452777777777779</cx:pt>
          <cx:pt idx="11">6.0138888888888893</cx:pt>
          <cx:pt idx="12">34.491666666666667</cx:pt>
          <cx:pt idx="13">8.3638888888888889</cx:pt>
          <cx:pt idx="14">29.18611111111111</cx:pt>
          <cx:pt idx="15">14.872222222222222</cx:pt>
          <cx:pt idx="16">27.605555555555554</cx:pt>
          <cx:pt idx="17">6.1083333333333334</cx:pt>
          <cx:pt idx="18">52.491666666666667</cx:pt>
          <cx:pt idx="19">13.472222222222221</cx:pt>
          <cx:pt idx="20">27.755555555555556</cx:pt>
          <cx:pt idx="21">0</cx:pt>
          <cx:pt idx="22">31.205555555555556</cx:pt>
          <cx:pt idx="23">37.105555555555554</cx:pt>
          <cx:pt idx="24">37.955555555555556</cx:pt>
          <cx:pt idx="25">28.050000000000001</cx:pt>
          <cx:pt idx="26">41.383333333333333</cx:pt>
          <cx:pt idx="27">7.4305555555555554</cx:pt>
          <cx:pt idx="28">31.041666666666668</cx:pt>
          <cx:pt idx="29">16.100000000000001</cx:pt>
          <cx:pt idx="30">17.269444444444446</cx:pt>
          <cx:pt idx="31">0.6333333333333333</cx:pt>
          <cx:pt idx="32">13.908333333333333</cx:pt>
          <cx:pt idx="33">14.21111111111111</cx:pt>
          <cx:pt idx="34">8.875</cx:pt>
          <cx:pt idx="35">8.0638888888888882</cx:pt>
          <cx:pt idx="36">36.56111111111111</cx:pt>
          <cx:pt idx="37">1.5249999999999999</cx:pt>
          <cx:pt idx="38">2.4333333333333331</cx:pt>
          <cx:pt idx="39">20.744444444444444</cx:pt>
          <cx:pt idx="40">7.072222222222222</cx:pt>
          <cx:pt idx="41">22.666666666666668</cx:pt>
          <cx:pt idx="42">13.880555555555556</cx:pt>
          <cx:pt idx="43">24.694444444444443</cx:pt>
          <cx:pt idx="44">11.886111111111111</cx:pt>
          <cx:pt idx="45">13.583333333333334</cx:pt>
          <cx:pt idx="46">29.922222222222221</cx:pt>
          <cx:pt idx="47">16.861111111111111</cx:pt>
          <cx:pt idx="48">0.37222222222222223</cx:pt>
          <cx:pt idx="49">19.786111111111111</cx:pt>
          <cx:pt idx="50">2.1499999999999999</cx:pt>
          <cx:pt idx="51">0.17499999999999999</cx:pt>
          <cx:pt idx="52">7.5555555555555554</cx:pt>
          <cx:pt idx="53">2.8194444444444446</cx:pt>
          <cx:pt idx="54">27.066666666666666</cx:pt>
          <cx:pt idx="55">33.155555555555559</cx:pt>
          <cx:pt idx="56">6.5305555555555559</cx:pt>
          <cx:pt idx="57">13.716666666666667</cx:pt>
          <cx:pt idx="58">29.75</cx:pt>
          <cx:pt idx="59">4.0750000000000002</cx:pt>
          <cx:pt idx="60">3.4305555555555554</cx:pt>
          <cx:pt idx="61">0</cx:pt>
          <cx:pt idx="62">8.1916666666666664</cx:pt>
          <cx:pt idx="63">10.963888888888889</cx:pt>
          <cx:pt idx="64">14.222222222222221</cx:pt>
        </cx:lvl>
      </cx:numDim>
    </cx:data>
  </cx:chartData>
  <cx:chart>
    <cx:title pos="t" align="ctr" overlay="0">
      <cx:tx>
        <cx:txData>
          <cx:v>Distribution of Years</cx:v>
        </cx:txData>
      </cx:tx>
      <cx:txPr>
        <a:bodyPr spcFirstLastPara="1" vertOverflow="ellipsis" horzOverflow="overflow" wrap="square" lIns="0" tIns="0" rIns="0" bIns="0" anchor="ctr" anchorCtr="1"/>
        <a:lstStyle/>
        <a:p>
          <a:pPr algn="ctr" rtl="0">
            <a:defRPr/>
          </a:pPr>
          <a:r>
            <a:rPr lang="en-US" sz="1400" b="0" i="0" u="none" strike="noStrike" baseline="0">
              <a:solidFill>
                <a:schemeClr val="tx1"/>
              </a:solidFill>
              <a:latin typeface="Harlow Solid Italic" panose="04030604020F02020D02" pitchFamily="82" charset="0"/>
            </a:rPr>
            <a:t>Distribution of Years</a:t>
          </a:r>
        </a:p>
      </cx:txPr>
    </cx:title>
    <cx:plotArea>
      <cx:plotAreaRegion>
        <cx:series layoutId="clusteredColumn" uniqueId="{9445C945-5CAD-4E62-902F-DC5A7DBEC0F5}">
          <cx:spPr>
            <a:solidFill>
              <a:schemeClr val="accent1"/>
            </a:solidFill>
            <a:ln>
              <a:solidFill>
                <a:schemeClr val="tx1"/>
              </a:solidFill>
            </a:ln>
          </cx:spPr>
          <cx:dataId val="0"/>
          <cx:layoutPr>
            <cx:binning intervalClosed="r"/>
          </cx:layoutPr>
        </cx:series>
      </cx:plotAreaRegion>
      <cx:axis id="0">
        <cx:catScaling gapWidth="0"/>
        <cx:tickLabels/>
        <cx:spPr>
          <a:ln>
            <a:solidFill>
              <a:schemeClr val="tx1"/>
            </a:solidFill>
          </a:ln>
        </cx:spPr>
        <cx:txPr>
          <a:bodyPr spcFirstLastPara="1" vertOverflow="ellipsis" horzOverflow="overflow" wrap="square" lIns="0" tIns="0" rIns="0" bIns="0" anchor="ctr" anchorCtr="1"/>
          <a:lstStyle/>
          <a:p>
            <a:pPr algn="ctr" rtl="0">
              <a:defRPr>
                <a:solidFill>
                  <a:schemeClr val="tx1"/>
                </a:solidFill>
              </a:defRPr>
            </a:pPr>
            <a:endParaRPr lang="en-US" sz="900" b="0" i="0" u="none" strike="noStrike" baseline="0">
              <a:solidFill>
                <a:schemeClr val="tx1"/>
              </a:solidFill>
              <a:latin typeface="Calibri" panose="020F0502020204030204"/>
            </a:endParaRPr>
          </a:p>
        </cx:txPr>
      </cx:axis>
      <cx:axis id="1">
        <cx:valScaling/>
        <cx:majorGridlines/>
        <cx:tickLabels/>
        <cx:spPr>
          <a:ln>
            <a:solidFill>
              <a:schemeClr val="tx1"/>
            </a:solidFill>
          </a:ln>
        </cx:spPr>
        <cx:txPr>
          <a:bodyPr spcFirstLastPara="1" vertOverflow="ellipsis" horzOverflow="overflow" wrap="square" lIns="0" tIns="0" rIns="0" bIns="0" anchor="ctr" anchorCtr="1"/>
          <a:lstStyle/>
          <a:p>
            <a:pPr algn="ctr" rtl="0">
              <a:defRPr>
                <a:solidFill>
                  <a:schemeClr val="tx1"/>
                </a:solidFill>
              </a:defRPr>
            </a:pPr>
            <a:endParaRPr lang="en-US" sz="900" b="0" i="0" u="none" strike="noStrike" baseline="0">
              <a:solidFill>
                <a:schemeClr val="tx1"/>
              </a:solidFill>
              <a:latin typeface="Calibri" panose="020F0502020204030204"/>
            </a:endParaRPr>
          </a:p>
        </cx:txPr>
      </cx:axis>
    </cx:plotArea>
  </cx:chart>
  <cx:spPr>
    <a:solidFill>
      <a:schemeClr val="tx1">
        <a:lumMod val="50000"/>
        <a:lumOff val="50000"/>
      </a:schemeClr>
    </a:solidFill>
    <a:ln>
      <a:solidFill>
        <a:schemeClr val="tx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3950</TotalTime>
  <Pages>7</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Tessier, Nicholas</dc:creator>
  <cp:keywords/>
  <dc:description/>
  <cp:lastModifiedBy>Tessier, Nicholas</cp:lastModifiedBy>
  <cp:revision>707</cp:revision>
  <cp:lastPrinted>2022-09-27T21:51:00Z</cp:lastPrinted>
  <dcterms:created xsi:type="dcterms:W3CDTF">2022-09-02T16:15:00Z</dcterms:created>
  <dcterms:modified xsi:type="dcterms:W3CDTF">2022-10-12T21:54:00Z</dcterms:modified>
</cp:coreProperties>
</file>