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Results: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Prophet: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MAE  = 239.806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RMSE = 336.689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MAPE = 10.381%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XGBoost: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Without Z: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MAE  =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208.524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RMSE =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290.712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MAPE = 8.41%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With Z: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MAE  =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203.202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RMSE =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285.286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MAPE = 8.13%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LightGBM: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Without Z: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MAE  =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208.238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RMSE =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294.038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MAPE = 8.34%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With Z: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MAE  =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197.408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RMSE =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283.670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MAPE = 7.80%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LSTM-Attention: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MAE  =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183.55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RMSE =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256.13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MAPE = 7.60%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Transformer: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MAE  =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177.82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RMSE =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247.16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MAPE = 7.17%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Transformer-XGBoost Hybrid: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MAE  =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174.71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RMSE =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245.96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MAPE = 6.97%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Transformer-LightGBM Hybrid: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MAE  =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172.73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RMSE =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245.42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MAPE =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6.86</w:t>
      </w:r>
      <w:r w:rsidDel="00000000" w:rsidR="00000000" w:rsidRPr="00000000">
        <w:rPr>
          <w:rtl w:val="0"/>
        </w:rPr>
        <w:t xml:space="preserve">%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