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ptos" w:hAnsi="Aptos"/>
          <w:b/>
          <w:color w:val="17365D"/>
          <w:sz w:val="40"/>
        </w:rPr>
        <w:t>ENDPOINT INVESTIGATOR</w:t>
      </w:r>
    </w:p>
    <w:p>
      <w:pPr>
        <w:spacing w:after="140"/>
        <w:jc w:val="center"/>
      </w:pPr>
      <w:r>
        <w:rPr>
          <w:rFonts w:ascii="Aptos" w:hAnsi="Aptos"/>
          <w:b/>
          <w:color w:val="595959"/>
          <w:sz w:val="21"/>
        </w:rPr>
        <w:t>Relatório técnico final — investigação de segurança em GNU/Linux</w:t>
      </w:r>
    </w:p>
    <w:p>
      <w:pPr>
        <w:spacing w:after="160"/>
        <w:jc w:val="center"/>
      </w:pPr>
      <w:r>
        <w:rPr>
          <w:rFonts w:ascii="Aptos" w:hAnsi="Aptos"/>
          <w:color w:val="7F7F7F"/>
          <w:sz w:val="17"/>
        </w:rPr>
        <w:t>Avaliação Intermediária • Prof. Rodolfo Avelino • Setembro de 2026</w:t>
      </w:r>
    </w:p>
    <w:p>
      <w:pPr>
        <w:spacing w:after="120"/>
        <w:jc w:val="center"/>
      </w:pPr>
      <w:r>
        <w:rPr/>
        <w:t>Integrantes: Nicholas Nakano Thuesen e Alison Araujo</w:t>
      </w:r>
    </w:p>
    <w:p>
      <w:pPr>
        <w:spacing w:before="80" w:after="60"/>
      </w:pPr>
      <w:r>
        <w:rPr>
          <w:rFonts w:ascii="Aptos" w:hAnsi="Aptos"/>
          <w:b/>
          <w:color w:val="17365D"/>
          <w:sz w:val="26"/>
        </w:rPr>
        <w:t>1. Problema e estratégia</w:t>
      </w:r>
    </w:p>
    <w:p>
      <w:pPr>
        <w:spacing w:after="80" w:line="252" w:lineRule="auto"/>
      </w:pPr>
      <w:r>
        <w:rPr>
          <w:rFonts w:ascii="Aptos" w:hAnsi="Aptos"/>
          <w:b w:val="0"/>
          <w:i w:val="0"/>
          <w:sz w:val="19"/>
        </w:rPr>
        <w:t>O Endpoint Investigator é uma ferramenta local, read-only e executada sob demanda para apoiar a investigação de segurança de endpoints GNU/Linux. O projeto parte do princípio de que sinais isolados — como um processo com nome incomum, um serviço executado como root ou uma porta em escuta — não caracterizam, por si só, um incidente. A ferramenta coleta fatos, relaciona entidades e produz hipóteses rastreáveis, deixando explícito o que ainda não pode ser concluído.</w:t>
      </w:r>
    </w:p>
    <w:p>
      <w:pPr>
        <w:spacing w:after="100" w:line="252" w:lineRule="auto"/>
      </w:pPr>
      <w:r>
        <w:rPr>
          <w:rFonts w:ascii="Aptos" w:hAnsi="Aptos"/>
          <w:b/>
          <w:i w:val="0"/>
          <w:sz w:val="19"/>
        </w:rPr>
        <w:t xml:space="preserve">Classes de resultado. </w:t>
      </w:r>
      <w:r>
        <w:rPr>
          <w:rFonts w:ascii="Aptos" w:hAnsi="Aptos"/>
          <w:b w:val="0"/>
          <w:i w:val="0"/>
          <w:sz w:val="19"/>
        </w:rPr>
        <w:t xml:space="preserve">Cada finding recebe uma de três classes: </w:t>
      </w:r>
      <w:r>
        <w:rPr>
          <w:rFonts w:ascii="Aptos" w:hAnsi="Aptos"/>
          <w:b/>
          <w:i w:val="0"/>
          <w:sz w:val="19"/>
        </w:rPr>
        <w:t xml:space="preserve">needs_review</w:t>
      </w:r>
      <w:r>
        <w:rPr>
          <w:rFonts w:ascii="Aptos" w:hAnsi="Aptos"/>
          <w:b w:val="0"/>
          <w:i w:val="0"/>
          <w:sz w:val="19"/>
        </w:rPr>
        <w:t xml:space="preserve"> (combinação de sinais que justifica investigação humana), </w:t>
      </w:r>
      <w:r>
        <w:rPr>
          <w:rFonts w:ascii="Aptos" w:hAnsi="Aptos"/>
          <w:b/>
          <w:i w:val="0"/>
          <w:sz w:val="19"/>
        </w:rPr>
        <w:t xml:space="preserve">informational</w:t>
      </w:r>
      <w:r>
        <w:rPr>
          <w:rFonts w:ascii="Aptos" w:hAnsi="Aptos"/>
          <w:b w:val="0"/>
          <w:i w:val="0"/>
          <w:sz w:val="19"/>
        </w:rPr>
        <w:t xml:space="preserve"> (relação observada e registrada como contexto, sem indicar problema) e </w:t>
      </w:r>
      <w:r>
        <w:rPr>
          <w:rFonts w:ascii="Aptos" w:hAnsi="Aptos"/>
          <w:b/>
          <w:i w:val="0"/>
          <w:sz w:val="19"/>
        </w:rPr>
        <w:t xml:space="preserve">inconclusive</w:t>
      </w:r>
      <w:r>
        <w:rPr>
          <w:rFonts w:ascii="Aptos" w:hAnsi="Aptos"/>
          <w:b w:val="0"/>
          <w:i w:val="0"/>
          <w:sz w:val="19"/>
        </w:rPr>
        <w:t xml:space="preserve"> (dados insuficientes; as lacunas são listadas). Não existe classe “vulnerável” ou “malicioso”: a ferramenta nunca conclui exploração ou comprometimento.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E2F3"/>
          <w:left w:val="single" w:sz="4" w:color="D9E2F3"/>
          <w:bottom w:val="single" w:sz="4" w:color="D9E2F3"/>
          <w:right w:val="single" w:sz="4" w:color="D9E2F3"/>
          <w:insideH w:val="single" w:sz="4" w:color="D9E2F3"/>
          <w:insideV w:val="single" w:sz="4" w:color="D9E2F3"/>
        </w:tblBorders>
      </w:tblPr>
      <w:tblGrid>
        <w:gridCol w:w="4932"/>
        <w:gridCol w:w="4932"/>
      </w:tblGrid>
      <w:tr>
        <w:tc>
          <w:tcPr>
            <w:tcW w:type="dxa" w:w="4932"/>
            <w:tcMar>
              <w:top w:w="95" w:type="dxa"/>
              <w:start w:w="120" w:type="dxa"/>
              <w:bottom w:w="95" w:type="dxa"/>
              <w:end w:w="120" w:type="dxa"/>
            </w:tcMar>
            <w:shd w:val="clear" w:color="auto" w:fill="F4F7FB"/>
          </w:tcPr>
          <w:p>
            <w:r>
              <w:rPr>
                <w:rFonts w:ascii="Aptos" w:hAnsi="Aptos"/>
                <w:b/>
                <w:i w:val="0"/>
                <w:color w:val="17365D"/>
                <w:sz w:val="18"/>
              </w:rPr>
              <w:t>Escopo obrigatório</w:t>
            </w:r>
          </w:p>
          <w:p>
            <w:pPr>
              <w:pStyle w:val="ListBullet"/>
              <w:spacing w:after="0"/>
              <w:ind w:left="170"/>
            </w:pPr>
            <w:r>
              <w:rPr>
                <w:rFonts w:ascii="Aptos" w:hAnsi="Aptos"/>
                <w:b w:val="0"/>
                <w:i w:val="0"/>
                <w:sz w:val="17"/>
              </w:rPr>
              <w:t>Processos e identidade</w:t>
            </w:r>
          </w:p>
          <w:p>
            <w:pPr>
              <w:pStyle w:val="ListBullet"/>
              <w:spacing w:after="0"/>
              <w:ind w:left="170"/>
            </w:pPr>
            <w:r>
              <w:rPr>
                <w:rFonts w:ascii="Aptos" w:hAnsi="Aptos"/>
                <w:b w:val="0"/>
                <w:i w:val="0"/>
                <w:sz w:val="17"/>
              </w:rPr>
              <w:t>Serviços systemd</w:t>
            </w:r>
          </w:p>
          <w:p>
            <w:pPr>
              <w:pStyle w:val="ListBullet"/>
              <w:spacing w:after="0"/>
              <w:ind w:left="170"/>
            </w:pPr>
            <w:r>
              <w:rPr>
                <w:rFonts w:ascii="Aptos" w:hAnsi="Aptos"/>
                <w:b w:val="0"/>
                <w:i w:val="0"/>
                <w:sz w:val="17"/>
              </w:rPr>
              <w:t>Permissões contextuais</w:t>
            </w:r>
          </w:p>
        </w:tc>
        <w:tc>
          <w:tcPr>
            <w:tcW w:type="dxa" w:w="4932"/>
            <w:tcMar>
              <w:top w:w="95" w:type="dxa"/>
              <w:start w:w="120" w:type="dxa"/>
              <w:bottom w:w="95" w:type="dxa"/>
              <w:end w:w="120" w:type="dxa"/>
            </w:tcMar>
            <w:shd w:val="clear" w:color="auto" w:fill="F4F7FB"/>
          </w:tcPr>
          <w:p>
            <w:r>
              <w:rPr>
                <w:rFonts w:ascii="Aptos" w:hAnsi="Aptos"/>
                <w:b/>
                <w:i w:val="0"/>
                <w:color w:val="17365D"/>
                <w:sz w:val="18"/>
              </w:rPr>
              <w:t>Princípios</w:t>
            </w:r>
          </w:p>
          <w:p>
            <w:pPr>
              <w:pStyle w:val="ListBullet"/>
              <w:spacing w:after="0"/>
              <w:ind w:left="170"/>
            </w:pPr>
            <w:r>
              <w:rPr>
                <w:rFonts w:ascii="Aptos" w:hAnsi="Aptos"/>
                <w:b w:val="0"/>
                <w:i w:val="0"/>
                <w:sz w:val="17"/>
              </w:rPr>
              <w:t>Evidência antes de interpretação</w:t>
            </w:r>
          </w:p>
          <w:p>
            <w:pPr>
              <w:pStyle w:val="ListBullet"/>
              <w:spacing w:after="0"/>
              <w:ind w:left="170"/>
            </w:pPr>
            <w:r>
              <w:rPr>
                <w:rFonts w:ascii="Aptos" w:hAnsi="Aptos"/>
                <w:b w:val="0"/>
                <w:i w:val="0"/>
                <w:sz w:val="17"/>
              </w:rPr>
              <w:t>Resultados inconclusivos quando necessário</w:t>
            </w:r>
          </w:p>
          <w:p>
            <w:pPr>
              <w:pStyle w:val="ListBullet"/>
              <w:spacing w:after="0"/>
              <w:ind w:left="170"/>
            </w:pPr>
            <w:r>
              <w:rPr>
                <w:rFonts w:ascii="Aptos" w:hAnsi="Aptos"/>
                <w:b w:val="0"/>
                <w:i w:val="0"/>
                <w:sz w:val="17"/>
              </w:rPr>
              <w:t>Sem score de risco artificial</w:t>
            </w:r>
          </w:p>
        </w:tc>
      </w:tr>
    </w:tbl>
    <w:p>
      <w:pPr>
        <w:spacing w:before="80" w:after="60"/>
      </w:pPr>
      <w:r>
        <w:rPr>
          <w:rFonts w:ascii="Aptos" w:hAnsi="Aptos"/>
          <w:b/>
          <w:color w:val="17365D"/>
          <w:sz w:val="26"/>
        </w:rPr>
        <w:t>2. Arquitetura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B4C6E7"/>
          <w:left w:val="single" w:sz="5" w:color="B4C6E7"/>
          <w:bottom w:val="single" w:sz="5" w:color="B4C6E7"/>
          <w:right w:val="single" w:sz="5" w:color="B4C6E7"/>
          <w:insideH w:val="single" w:sz="5" w:color="B4C6E7"/>
          <w:insideV w:val="single" w:sz="5" w:color="B4C6E7"/>
        </w:tblBorders>
      </w:tblPr>
      <w:tblGrid>
        <w:gridCol w:w="1485"/>
        <w:gridCol w:w="1485"/>
        <w:gridCol w:w="1485"/>
        <w:gridCol w:w="1485"/>
        <w:gridCol w:w="1485"/>
        <w:gridCol w:w="1729"/>
      </w:tblGrid>
      <w:tr>
        <w:tc>
          <w:tcPr>
            <w:tcW w:type="dxa" w:w="1485"/>
            <w:tcMar>
              <w:top w:w="65" w:type="dxa"/>
              <w:start w:w="55" w:type="dxa"/>
              <w:bottom w:w="65" w:type="dxa"/>
              <w:end w:w="55" w:type="dxa"/>
            </w:tcMar>
            <w:vAlign w:val="center"/>
            <w:shd w:val="clear" w:color="auto" w:fill="EAF1F8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17365D"/>
                <w:sz w:val="17"/>
              </w:rPr>
              <w:t>Coleta</w:t>
            </w:r>
          </w:p>
        </w:tc>
        <w:tc>
          <w:tcPr>
            <w:tcW w:type="dxa" w:w="1485"/>
            <w:tcMar>
              <w:top w:w="65" w:type="dxa"/>
              <w:start w:w="55" w:type="dxa"/>
              <w:bottom w:w="65" w:type="dxa"/>
              <w:end w:w="55" w:type="dxa"/>
            </w:tcMar>
            <w:vAlign w:val="center"/>
            <w:shd w:val="clear" w:color="auto" w:fill="F5F8FC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17365D"/>
                <w:sz w:val="17"/>
              </w:rPr>
              <w:t>Normalização</w:t>
            </w:r>
          </w:p>
        </w:tc>
        <w:tc>
          <w:tcPr>
            <w:tcW w:type="dxa" w:w="1485"/>
            <w:tcMar>
              <w:top w:w="65" w:type="dxa"/>
              <w:start w:w="55" w:type="dxa"/>
              <w:bottom w:w="65" w:type="dxa"/>
              <w:end w:w="55" w:type="dxa"/>
            </w:tcMar>
            <w:vAlign w:val="center"/>
            <w:shd w:val="clear" w:color="auto" w:fill="EAF1F8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17365D"/>
                <w:sz w:val="17"/>
              </w:rPr>
              <w:t>Permissões</w:t>
            </w:r>
          </w:p>
        </w:tc>
        <w:tc>
          <w:tcPr>
            <w:tcW w:type="dxa" w:w="1485"/>
            <w:tcMar>
              <w:top w:w="65" w:type="dxa"/>
              <w:start w:w="55" w:type="dxa"/>
              <w:bottom w:w="65" w:type="dxa"/>
              <w:end w:w="55" w:type="dxa"/>
            </w:tcMar>
            <w:vAlign w:val="center"/>
            <w:shd w:val="clear" w:color="auto" w:fill="F5F8FC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17365D"/>
                <w:sz w:val="17"/>
              </w:rPr>
              <w:t>Correlação</w:t>
            </w:r>
          </w:p>
        </w:tc>
        <w:tc>
          <w:tcPr>
            <w:tcW w:type="dxa" w:w="1485"/>
            <w:tcMar>
              <w:top w:w="65" w:type="dxa"/>
              <w:start w:w="55" w:type="dxa"/>
              <w:bottom w:w="65" w:type="dxa"/>
              <w:end w:w="55" w:type="dxa"/>
            </w:tcMar>
            <w:vAlign w:val="center"/>
            <w:shd w:val="clear" w:color="auto" w:fill="EAF1F8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17365D"/>
                <w:sz w:val="17"/>
              </w:rPr>
              <w:t>Findings</w:t>
            </w:r>
          </w:p>
        </w:tc>
        <w:tc>
          <w:tcPr>
            <w:tcW w:type="dxa" w:w="1729"/>
            <w:tcMar>
              <w:top w:w="65" w:type="dxa"/>
              <w:start w:w="55" w:type="dxa"/>
              <w:bottom w:w="65" w:type="dxa"/>
              <w:end w:w="55" w:type="dxa"/>
            </w:tcMar>
            <w:vAlign w:val="center"/>
            <w:shd w:val="clear" w:color="auto" w:fill="F5F8FC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17365D"/>
                <w:sz w:val="17"/>
              </w:rPr>
              <w:t>Texto / JSON</w:t>
            </w:r>
          </w:p>
        </w:tc>
      </w:tr>
    </w:tbl>
    <w:p>
      <w:pPr>
        <w:spacing w:after="60" w:line="252" w:lineRule="auto"/>
      </w:pPr>
      <w:r>
        <w:rPr>
          <w:rFonts w:ascii="Aptos" w:hAnsi="Aptos"/>
          <w:b w:val="0"/>
          <w:i w:val="0"/>
          <w:sz w:val="18"/>
        </w:rPr>
        <w:t>O mesmo núcleo de correlação é reutilizado em três caminhos: (a) scan ao vivo na Kali; (b) análise offline de snapshots JSON; e (c) datasets do generator da disciplina, normalizados para Snapshot v1 sem consultar o host. Coletores observam; modelos normalizam; a correlação relaciona entidades; e a apresentação transforma o resultado em texto ou JSON.</w:t>
      </w:r>
    </w:p>
    <w:p>
      <w:pPr>
        <w:spacing w:after="80" w:line="252" w:lineRule="auto"/>
      </w:pPr>
      <w:r>
        <w:rPr>
          <w:rFonts w:ascii="Aptos" w:hAnsi="Aptos"/>
          <w:b/>
          <w:i w:val="0"/>
          <w:sz w:val="19"/>
        </w:rPr>
        <w:t xml:space="preserve">Relação com o fluxo de referência do enunciado: </w:t>
      </w:r>
      <w:r>
        <w:rPr>
          <w:rFonts w:ascii="Aptos" w:hAnsi="Aptos"/>
          <w:b w:val="0"/>
          <w:i w:val="0"/>
          <w:sz w:val="19"/>
        </w:rPr>
        <w:t xml:space="preserve">Coleta → Normalização → Correlação correspondem às etapas homônimas; a etapa Permissões é uma análise contextual executada apenas sobre recursos que a correlação precisa avaliar; Evidências e Hipóteses ficam dentro de cada Finding (seção 3); Texto/JSON é o Resultado da investigação.</w:t>
      </w:r>
    </w:p>
    <w:p>
      <w:pPr>
        <w:spacing w:before="40" w:after="40"/>
      </w:pPr>
      <w:r>
        <w:rPr>
          <w:rFonts w:ascii="Aptos" w:hAnsi="Aptos"/>
          <w:b/>
          <w:color w:val="365F91"/>
          <w:sz w:val="21"/>
        </w:rPr>
        <w:t>Fontes de informação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E2F3"/>
          <w:left w:val="single" w:sz="4" w:color="D9E2F3"/>
          <w:bottom w:val="single" w:sz="4" w:color="D9E2F3"/>
          <w:right w:val="single" w:sz="4" w:color="D9E2F3"/>
          <w:insideH w:val="single" w:sz="4" w:color="D9E2F3"/>
          <w:insideV w:val="single" w:sz="4" w:color="D9E2F3"/>
        </w:tblBorders>
      </w:tblPr>
      <w:tblGrid>
        <w:gridCol w:w="2267"/>
        <w:gridCol w:w="2834"/>
        <w:gridCol w:w="4875"/>
      </w:tblGrid>
      <w:tr>
        <w:tc>
          <w:tcPr>
            <w:tcW w:type="dxa" w:w="2267"/>
            <w:shd w:val="clear" w:color="auto" w:fill="D9E2F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r>
              <w:rPr>
                <w:rFonts w:ascii="Aptos" w:hAnsi="Aptos"/>
                <w:b/>
                <w:i w:val="0"/>
                <w:color w:val="17365D"/>
                <w:sz w:val="16"/>
              </w:rPr>
              <w:t>Dimensão</w:t>
            </w:r>
          </w:p>
        </w:tc>
        <w:tc>
          <w:tcPr>
            <w:tcW w:type="dxa" w:w="2834"/>
            <w:shd w:val="clear" w:color="auto" w:fill="D9E2F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r>
              <w:rPr>
                <w:rFonts w:ascii="Aptos" w:hAnsi="Aptos"/>
                <w:b/>
                <w:i w:val="0"/>
                <w:color w:val="17365D"/>
                <w:sz w:val="16"/>
              </w:rPr>
              <w:t>Fonte</w:t>
            </w:r>
          </w:p>
        </w:tc>
        <w:tc>
          <w:tcPr>
            <w:tcW w:type="dxa" w:w="4875"/>
            <w:shd w:val="clear" w:color="auto" w:fill="D9E2F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r>
              <w:rPr>
                <w:rFonts w:ascii="Aptos" w:hAnsi="Aptos"/>
                <w:b/>
                <w:i w:val="0"/>
                <w:color w:val="17365D"/>
                <w:sz w:val="16"/>
              </w:rPr>
              <w:t>Dados usados</w:t>
            </w:r>
          </w:p>
        </w:tc>
      </w:tr>
      <w:tr>
        <w:tc>
          <w:tcPr>
            <w:tcW w:type="dxa" w:w="2267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r>
              <w:rPr>
                <w:rFonts w:ascii="Aptos" w:hAnsi="Aptos"/>
                <w:b w:val="0"/>
                <w:i w:val="0"/>
                <w:sz w:val="16"/>
              </w:rPr>
              <w:t>Processos</w:t>
            </w:r>
          </w:p>
        </w:tc>
        <w:tc>
          <w:tcPr>
            <w:tcW w:type="dxa" w:w="2834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r>
              <w:rPr>
                <w:rFonts w:ascii="Aptos" w:hAnsi="Aptos"/>
                <w:b w:val="0"/>
                <w:i w:val="0"/>
                <w:sz w:val="16"/>
              </w:rPr>
              <w:t>psutil</w:t>
            </w:r>
          </w:p>
        </w:tc>
        <w:tc>
          <w:tcPr>
            <w:tcW w:type="dxa" w:w="4875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r>
              <w:rPr>
                <w:rFonts w:ascii="Aptos" w:hAnsi="Aptos"/>
                <w:b w:val="0"/>
                <w:i w:val="0"/>
                <w:sz w:val="16"/>
              </w:rPr>
              <w:t>PID, PPID, UID/GID, usuário, comando, executável, estado</w:t>
            </w:r>
          </w:p>
        </w:tc>
      </w:tr>
      <w:tr>
        <w:tc>
          <w:tcPr>
            <w:tcW w:type="dxa" w:w="2267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r>
              <w:rPr>
                <w:rFonts w:ascii="Aptos" w:hAnsi="Aptos"/>
                <w:b w:val="0"/>
                <w:i w:val="0"/>
                <w:sz w:val="16"/>
              </w:rPr>
              <w:t>Serviços</w:t>
            </w:r>
          </w:p>
        </w:tc>
        <w:tc>
          <w:tcPr>
            <w:tcW w:type="dxa" w:w="2834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r>
              <w:rPr>
                <w:rFonts w:ascii="Aptos" w:hAnsi="Aptos"/>
                <w:b w:val="0"/>
                <w:i w:val="0"/>
                <w:sz w:val="16"/>
              </w:rPr>
              <w:t>systemctl</w:t>
            </w:r>
          </w:p>
        </w:tc>
        <w:tc>
          <w:tcPr>
            <w:tcW w:type="dxa" w:w="4875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r>
              <w:rPr>
                <w:rFonts w:ascii="Aptos" w:hAnsi="Aptos"/>
                <w:b w:val="0"/>
                <w:i w:val="0"/>
                <w:sz w:val="16"/>
              </w:rPr>
              <w:t>unit, estado, MainPID, User/Group, FragmentPath, ExecStart</w:t>
            </w:r>
          </w:p>
        </w:tc>
      </w:tr>
      <w:tr>
        <w:tc>
          <w:tcPr>
            <w:tcW w:type="dxa" w:w="2267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r>
              <w:rPr>
                <w:rFonts w:ascii="Aptos" w:hAnsi="Aptos"/>
                <w:b w:val="0"/>
                <w:i w:val="0"/>
                <w:sz w:val="16"/>
              </w:rPr>
              <w:t>Rede</w:t>
            </w:r>
          </w:p>
        </w:tc>
        <w:tc>
          <w:tcPr>
            <w:tcW w:type="dxa" w:w="2834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r>
              <w:rPr>
                <w:rFonts w:ascii="Aptos" w:hAnsi="Aptos"/>
                <w:b w:val="0"/>
                <w:i w:val="0"/>
                <w:sz w:val="16"/>
              </w:rPr>
              <w:t>psutil.net_connections</w:t>
            </w:r>
          </w:p>
        </w:tc>
        <w:tc>
          <w:tcPr>
            <w:tcW w:type="dxa" w:w="4875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r>
              <w:rPr>
                <w:rFonts w:ascii="Aptos" w:hAnsi="Aptos"/>
                <w:b w:val="0"/>
                <w:i w:val="0"/>
                <w:sz w:val="16"/>
              </w:rPr>
              <w:t>TCP LISTEN e UDP vinculado, endereço/porta e PID quando disponível</w:t>
            </w:r>
          </w:p>
        </w:tc>
      </w:tr>
      <w:tr>
        <w:tc>
          <w:tcPr>
            <w:tcW w:type="dxa" w:w="2267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r>
              <w:rPr>
                <w:rFonts w:ascii="Aptos" w:hAnsi="Aptos"/>
                <w:b w:val="0"/>
                <w:i w:val="0"/>
                <w:sz w:val="16"/>
              </w:rPr>
              <w:t>Permissões</w:t>
            </w:r>
          </w:p>
        </w:tc>
        <w:tc>
          <w:tcPr>
            <w:tcW w:type="dxa" w:w="2834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r>
              <w:rPr>
                <w:rFonts w:ascii="Aptos" w:hAnsi="Aptos"/>
                <w:b w:val="0"/>
                <w:i w:val="0"/>
                <w:sz w:val="16"/>
              </w:rPr>
              <w:t>os.stat + pwd/grp</w:t>
            </w:r>
          </w:p>
        </w:tc>
        <w:tc>
          <w:tcPr>
            <w:tcW w:type="dxa" w:w="4875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r>
              <w:rPr>
                <w:rFonts w:ascii="Aptos" w:hAnsi="Aptos"/>
                <w:b w:val="0"/>
                <w:i w:val="0"/>
                <w:sz w:val="16"/>
              </w:rPr>
              <w:t>owner/grupo, modo POSIX e diretório pai imediato</w:t>
            </w:r>
          </w:p>
        </w:tc>
      </w:tr>
    </w:tbl>
    <w:p>
      <w:pPr>
        <w:spacing w:after="0" w:line="252" w:lineRule="auto"/>
      </w:pPr>
      <w:r>
        <w:rPr>
          <w:rFonts w:ascii="Aptos" w:hAnsi="Aptos"/>
          <w:b/>
          <w:i w:val="0"/>
          <w:sz w:val="19"/>
        </w:rPr>
        <w:t xml:space="preserve">Por que rede? </w:t>
      </w:r>
      <w:r>
        <w:rPr>
          <w:rFonts w:ascii="Aptos" w:hAnsi="Aptos"/>
          <w:b w:val="0"/>
          <w:i w:val="0"/>
          <w:sz w:val="19"/>
        </w:rPr>
        <w:t xml:space="preserve">Além das três dimensões obrigatórias, conexões de rede foram incorporadas porque o enunciado cita como exemplo de correlação “um processo que gerencia uma porta de comunicação”. Essa fonte alimenta exclusivamente C2 e não gera findings por si só.</w:t>
      </w:r>
    </w:p>
    <w:p>
      <w:r>
        <w:rPr/>
        <w:br w:type="page"/>
      </w:r>
    </w:p>
    <w:p>
      <w:pPr>
        <w:spacing w:before="80" w:after="60"/>
      </w:pPr>
      <w:r>
        <w:rPr>
          <w:rFonts w:ascii="Aptos" w:hAnsi="Aptos"/>
          <w:b/>
          <w:color w:val="17365D"/>
          <w:sz w:val="26"/>
        </w:rPr>
        <w:t>3. Correlações e modelo de resultado</w:t>
      </w:r>
    </w:p>
    <w:p>
      <w:pPr>
        <w:spacing w:after="80" w:line="252" w:lineRule="auto"/>
      </w:pPr>
      <w:r>
        <w:rPr>
          <w:rFonts w:ascii="Aptos" w:hAnsi="Aptos"/>
          <w:b w:val="0"/>
          <w:i w:val="0"/>
          <w:sz w:val="19"/>
        </w:rPr>
        <w:t>A análise é determinística e opera somente sobre o snapshot. O núcleo implementa três correlações, cada uma com guardrails para impedir que sinais isolados sejam convertidos em conclusões fortes.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4C6E7"/>
          <w:left w:val="single" w:sz="4" w:color="B4C6E7"/>
          <w:bottom w:val="single" w:sz="4" w:color="B4C6E7"/>
          <w:right w:val="single" w:sz="4" w:color="B4C6E7"/>
          <w:insideH w:val="single" w:sz="4" w:color="B4C6E7"/>
          <w:insideV w:val="single" w:sz="4" w:color="B4C6E7"/>
        </w:tblBorders>
      </w:tblPr>
      <w:tblGrid>
        <w:gridCol w:w="1247"/>
        <w:gridCol w:w="3855"/>
        <w:gridCol w:w="1757"/>
        <w:gridCol w:w="3118"/>
      </w:tblGrid>
      <w:tr>
        <w:trPr>
          <w:tblHeader w:val="true"/>
        </w:trPr>
        <w:tc>
          <w:tcPr>
            <w:tcW w:type="dxa" w:w="1247"/>
            <w:shd w:val="clear" w:color="auto" w:fill="D9E2F3"/>
            <w:tcMar>
              <w:top w:w="60" w:type="dxa"/>
              <w:start w:w="65" w:type="dxa"/>
              <w:bottom w:w="60" w:type="dxa"/>
              <w:end w:w="65" w:type="dxa"/>
            </w:tcMar>
          </w:tcPr>
          <w:p>
            <w:r>
              <w:rPr>
                <w:rFonts w:ascii="Aptos" w:hAnsi="Aptos"/>
                <w:b/>
                <w:i w:val="0"/>
                <w:color w:val="17365D"/>
                <w:sz w:val="16"/>
              </w:rPr>
              <w:t>Correlação</w:t>
            </w:r>
          </w:p>
        </w:tc>
        <w:tc>
          <w:tcPr>
            <w:tcW w:type="dxa" w:w="3855"/>
            <w:shd w:val="clear" w:color="auto" w:fill="D9E2F3"/>
            <w:tcMar>
              <w:top w:w="60" w:type="dxa"/>
              <w:start w:w="65" w:type="dxa"/>
              <w:bottom w:w="60" w:type="dxa"/>
              <w:end w:w="65" w:type="dxa"/>
            </w:tcMar>
          </w:tcPr>
          <w:p>
            <w:r>
              <w:rPr>
                <w:rFonts w:ascii="Aptos" w:hAnsi="Aptos"/>
                <w:b/>
                <w:i w:val="0"/>
                <w:color w:val="17365D"/>
                <w:sz w:val="16"/>
              </w:rPr>
              <w:t>Relação observada</w:t>
            </w:r>
          </w:p>
        </w:tc>
        <w:tc>
          <w:tcPr>
            <w:tcW w:type="dxa" w:w="1757"/>
            <w:shd w:val="clear" w:color="auto" w:fill="D9E2F3"/>
            <w:tcMar>
              <w:top w:w="60" w:type="dxa"/>
              <w:start w:w="65" w:type="dxa"/>
              <w:bottom w:w="60" w:type="dxa"/>
              <w:end w:w="65" w:type="dxa"/>
            </w:tcMar>
          </w:tcPr>
          <w:p>
            <w:r>
              <w:rPr>
                <w:rFonts w:ascii="Aptos" w:hAnsi="Aptos"/>
                <w:b/>
                <w:i w:val="0"/>
                <w:color w:val="17365D"/>
                <w:sz w:val="16"/>
              </w:rPr>
              <w:t>Resultado</w:t>
            </w:r>
          </w:p>
        </w:tc>
        <w:tc>
          <w:tcPr>
            <w:tcW w:type="dxa" w:w="3118"/>
            <w:shd w:val="clear" w:color="auto" w:fill="D9E2F3"/>
            <w:tcMar>
              <w:top w:w="60" w:type="dxa"/>
              <w:start w:w="65" w:type="dxa"/>
              <w:bottom w:w="60" w:type="dxa"/>
              <w:end w:w="65" w:type="dxa"/>
            </w:tcMar>
          </w:tcPr>
          <w:p>
            <w:r>
              <w:rPr>
                <w:rFonts w:ascii="Aptos" w:hAnsi="Aptos"/>
                <w:b/>
                <w:i w:val="0"/>
                <w:color w:val="17365D"/>
                <w:sz w:val="16"/>
              </w:rPr>
              <w:t>Guardrail principal</w:t>
            </w:r>
          </w:p>
        </w:tc>
      </w:tr>
      <w:tr>
        <w:tc>
          <w:tcPr>
            <w:tcW w:type="dxa" w:w="1247"/>
            <w:tcMar>
              <w:top w:w="70" w:type="dxa"/>
              <w:start w:w="65" w:type="dxa"/>
              <w:bottom w:w="70" w:type="dxa"/>
              <w:end w:w="65" w:type="dxa"/>
            </w:tcMar>
          </w:tcPr>
          <w:p>
            <w:r>
              <w:rPr>
                <w:rFonts w:ascii="Aptos" w:hAnsi="Aptos"/>
                <w:b/>
                <w:i w:val="0"/>
                <w:sz w:val="16"/>
              </w:rPr>
              <w:t>C1</w:t>
            </w:r>
          </w:p>
        </w:tc>
        <w:tc>
          <w:tcPr>
            <w:tcW w:type="dxa" w:w="3855"/>
            <w:tcMar>
              <w:top w:w="70" w:type="dxa"/>
              <w:start w:w="65" w:type="dxa"/>
              <w:bottom w:w="70" w:type="dxa"/>
              <w:end w:w="65" w:type="dxa"/>
            </w:tcMar>
          </w:tcPr>
          <w:p>
            <w:r>
              <w:rPr>
                <w:rFonts w:ascii="Aptos" w:hAnsi="Aptos"/>
                <w:b w:val="0"/>
                <w:i w:val="0"/>
                <w:sz w:val="16"/>
              </w:rPr>
              <w:t>Serviço ativo → MainPID → UID efetivo → recurso → permissões</w:t>
            </w:r>
          </w:p>
        </w:tc>
        <w:tc>
          <w:tcPr>
            <w:tcW w:type="dxa" w:w="1757"/>
            <w:tcMar>
              <w:top w:w="70" w:type="dxa"/>
              <w:start w:w="65" w:type="dxa"/>
              <w:bottom w:w="70" w:type="dxa"/>
              <w:end w:w="65" w:type="dxa"/>
            </w:tcMar>
          </w:tcPr>
          <w:p>
            <w:r>
              <w:rPr>
                <w:rFonts w:ascii="Aptos" w:hAnsi="Aptos"/>
                <w:b w:val="0"/>
                <w:i w:val="0"/>
                <w:sz w:val="16"/>
              </w:rPr>
              <w:t>needs_review ou inconclusive</w:t>
            </w:r>
          </w:p>
        </w:tc>
        <w:tc>
          <w:tcPr>
            <w:tcW w:type="dxa" w:w="3118"/>
            <w:tcMar>
              <w:top w:w="70" w:type="dxa"/>
              <w:start w:w="65" w:type="dxa"/>
              <w:bottom w:w="70" w:type="dxa"/>
              <w:end w:w="65" w:type="dxa"/>
            </w:tcMar>
          </w:tcPr>
          <w:p>
            <w:r>
              <w:rPr>
                <w:rFonts w:ascii="Aptos" w:hAnsi="Aptos"/>
                <w:b w:val="0"/>
                <w:i w:val="0"/>
                <w:sz w:val="16"/>
              </w:rPr>
              <w:t>Root sozinho nunca gera finding. needs_review exige UID 0 observado + sinal POSIX de modificação por não-root.</w:t>
            </w:r>
          </w:p>
        </w:tc>
      </w:tr>
      <w:tr>
        <w:tc>
          <w:tcPr>
            <w:tcW w:type="dxa" w:w="1247"/>
            <w:tcMar>
              <w:top w:w="70" w:type="dxa"/>
              <w:start w:w="65" w:type="dxa"/>
              <w:bottom w:w="70" w:type="dxa"/>
              <w:end w:w="65" w:type="dxa"/>
            </w:tcMar>
          </w:tcPr>
          <w:p>
            <w:r>
              <w:rPr>
                <w:rFonts w:ascii="Aptos" w:hAnsi="Aptos"/>
                <w:b/>
                <w:i w:val="0"/>
                <w:sz w:val="16"/>
              </w:rPr>
              <w:t>C2</w:t>
            </w:r>
          </w:p>
        </w:tc>
        <w:tc>
          <w:tcPr>
            <w:tcW w:type="dxa" w:w="3855"/>
            <w:tcMar>
              <w:top w:w="70" w:type="dxa"/>
              <w:start w:w="65" w:type="dxa"/>
              <w:bottom w:w="70" w:type="dxa"/>
              <w:end w:w="65" w:type="dxa"/>
            </w:tcMar>
          </w:tcPr>
          <w:p>
            <w:r>
              <w:rPr>
                <w:rFonts w:ascii="Aptos" w:hAnsi="Aptos"/>
                <w:b w:val="0"/>
                <w:i w:val="0"/>
                <w:sz w:val="16"/>
              </w:rPr>
              <w:t>Socket → PID → processo → serviço → identidade</w:t>
            </w:r>
          </w:p>
        </w:tc>
        <w:tc>
          <w:tcPr>
            <w:tcW w:type="dxa" w:w="1757"/>
            <w:tcMar>
              <w:top w:w="70" w:type="dxa"/>
              <w:start w:w="65" w:type="dxa"/>
              <w:bottom w:w="70" w:type="dxa"/>
              <w:end w:w="65" w:type="dxa"/>
            </w:tcMar>
          </w:tcPr>
          <w:p>
            <w:r>
              <w:rPr>
                <w:rFonts w:ascii="Aptos" w:hAnsi="Aptos"/>
                <w:b w:val="0"/>
                <w:i w:val="0"/>
                <w:sz w:val="16"/>
              </w:rPr>
              <w:t>informational ou inconclusive</w:t>
            </w:r>
          </w:p>
        </w:tc>
        <w:tc>
          <w:tcPr>
            <w:tcW w:type="dxa" w:w="3118"/>
            <w:tcMar>
              <w:top w:w="70" w:type="dxa"/>
              <w:start w:w="65" w:type="dxa"/>
              <w:bottom w:w="70" w:type="dxa"/>
              <w:end w:w="65" w:type="dxa"/>
            </w:tcMar>
          </w:tcPr>
          <w:p>
            <w:r>
              <w:rPr>
                <w:rFonts w:ascii="Aptos" w:hAnsi="Aptos"/>
                <w:b w:val="0"/>
                <w:i w:val="0"/>
                <w:sz w:val="16"/>
              </w:rPr>
              <w:t>Porta aberta não é vulnerabilidade. Associação pode ser direta por MainPID ou contextual por ancestralidade PPID.</w:t>
            </w:r>
          </w:p>
        </w:tc>
      </w:tr>
      <w:tr>
        <w:tc>
          <w:tcPr>
            <w:tcW w:type="dxa" w:w="1247"/>
            <w:tcMar>
              <w:top w:w="70" w:type="dxa"/>
              <w:start w:w="65" w:type="dxa"/>
              <w:bottom w:w="70" w:type="dxa"/>
              <w:end w:w="65" w:type="dxa"/>
            </w:tcMar>
          </w:tcPr>
          <w:p>
            <w:r>
              <w:rPr>
                <w:rFonts w:ascii="Aptos" w:hAnsi="Aptos"/>
                <w:b/>
                <w:i w:val="0"/>
                <w:sz w:val="16"/>
              </w:rPr>
              <w:t>C3</w:t>
            </w:r>
          </w:p>
        </w:tc>
        <w:tc>
          <w:tcPr>
            <w:tcW w:type="dxa" w:w="3855"/>
            <w:tcMar>
              <w:top w:w="70" w:type="dxa"/>
              <w:start w:w="65" w:type="dxa"/>
              <w:bottom w:w="70" w:type="dxa"/>
              <w:end w:w="65" w:type="dxa"/>
            </w:tcMar>
          </w:tcPr>
          <w:p>
            <w:r>
              <w:rPr>
                <w:rFonts w:ascii="Aptos" w:hAnsi="Aptos"/>
                <w:b w:val="0"/>
                <w:i w:val="0"/>
                <w:sz w:val="16"/>
              </w:rPr>
              <w:t>Processo relevante → PPID → processo pai → identidades</w:t>
            </w:r>
          </w:p>
        </w:tc>
        <w:tc>
          <w:tcPr>
            <w:tcW w:type="dxa" w:w="1757"/>
            <w:tcMar>
              <w:top w:w="70" w:type="dxa"/>
              <w:start w:w="65" w:type="dxa"/>
              <w:bottom w:w="70" w:type="dxa"/>
              <w:end w:w="65" w:type="dxa"/>
            </w:tcMar>
          </w:tcPr>
          <w:p>
            <w:r>
              <w:rPr>
                <w:rFonts w:ascii="Aptos" w:hAnsi="Aptos"/>
                <w:b w:val="0"/>
                <w:i w:val="0"/>
                <w:sz w:val="16"/>
              </w:rPr>
              <w:t>informational ou inconclusive</w:t>
            </w:r>
          </w:p>
        </w:tc>
        <w:tc>
          <w:tcPr>
            <w:tcW w:type="dxa" w:w="3118"/>
            <w:tcMar>
              <w:top w:w="70" w:type="dxa"/>
              <w:start w:w="65" w:type="dxa"/>
              <w:bottom w:w="70" w:type="dxa"/>
              <w:end w:w="65" w:type="dxa"/>
            </w:tcMar>
          </w:tcPr>
          <w:p>
            <w:r>
              <w:rPr>
                <w:rFonts w:ascii="Aptos" w:hAnsi="Aptos"/>
                <w:b w:val="0"/>
                <w:i w:val="0"/>
                <w:sz w:val="16"/>
              </w:rPr>
              <w:t>Diferença de UID, PPID ou nome não prova escalada ou comprometimento.</w:t>
            </w:r>
          </w:p>
        </w:tc>
      </w:tr>
    </w:tbl>
    <w:p>
      <w:pPr>
        <w:spacing w:before="40" w:after="40"/>
      </w:pPr>
      <w:r>
        <w:rPr>
          <w:rFonts w:ascii="Aptos" w:hAnsi="Aptos"/>
          <w:b/>
          <w:color w:val="365F91"/>
          <w:sz w:val="21"/>
        </w:rPr>
        <w:t>C2: robustez por ancestralidade PPID</w:t>
      </w:r>
    </w:p>
    <w:p>
      <w:pPr>
        <w:spacing w:after="80" w:line="252" w:lineRule="auto"/>
      </w:pPr>
      <w:r>
        <w:rPr>
          <w:rFonts w:ascii="Aptos" w:hAnsi="Aptos"/>
          <w:b w:val="0"/>
          <w:i w:val="0"/>
          <w:sz w:val="18"/>
        </w:rPr>
        <w:t>Além da associação direta (socket.pid == service.main_pid), a versão final reconhece processos filhos e netos quando a cadeia PPID observada alcança o MainPID. O finding registra a proveniência como direct_main_pid ou descendant_of_main_pid e, no segundo caso, inclui a cadeia de PIDs usada como evidência. A travessia encerra com segurança em PPID ausente, pai não observado, self-parent ou ciclo. Essa ancestralidade é contexto investigativo, não prova autoritativa de membership systemd.</w:t>
      </w:r>
    </w:p>
    <w:p>
      <w:pPr>
        <w:spacing w:after="80" w:line="252" w:lineRule="auto"/>
      </w:pPr>
      <w:r>
        <w:rPr>
          <w:rFonts w:ascii="Aptos" w:hAnsi="Aptos"/>
          <w:b/>
          <w:i w:val="0"/>
          <w:sz w:val="19"/>
        </w:rPr>
        <w:t xml:space="preserve">Relação com as correlações sugeridas no enunciado: </w:t>
      </w:r>
      <w:r>
        <w:rPr>
          <w:rFonts w:ascii="Aptos" w:hAnsi="Aptos"/>
          <w:b w:val="0"/>
          <w:i w:val="0"/>
          <w:sz w:val="19"/>
        </w:rPr>
        <w:t xml:space="preserve">C1 implementa “processo + serviço + permissão” e “serviço + arquivo + usuário”; C3 implementa “processo + PPID + usuário”; C2 é uma correlação própria (socket + processo + serviço). A correlação com logs (“processo + serviço + log”) não foi implementada — ver limitações.</w:t>
      </w:r>
    </w:p>
    <w:p>
      <w:pPr>
        <w:spacing w:before="40" w:after="40"/>
      </w:pPr>
      <w:r>
        <w:rPr>
          <w:rFonts w:ascii="Aptos" w:hAnsi="Aptos"/>
          <w:b/>
          <w:color w:val="365F91"/>
          <w:sz w:val="21"/>
        </w:rPr>
        <w:t>Estrutura uniforme de Finding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E2F3"/>
          <w:left w:val="single" w:sz="4" w:color="D9E2F3"/>
          <w:bottom w:val="single" w:sz="4" w:color="D9E2F3"/>
          <w:right w:val="single" w:sz="4" w:color="D9E2F3"/>
          <w:insideH w:val="single" w:sz="4" w:color="D9E2F3"/>
          <w:insideV w:val="single" w:sz="4" w:color="D9E2F3"/>
        </w:tblBorders>
      </w:tblPr>
      <w:tblGrid>
        <w:gridCol w:w="4988"/>
        <w:gridCol w:w="4988"/>
      </w:tblGrid>
      <w:tr>
        <w:tc>
          <w:tcPr>
            <w:tcW w:type="dxa" w:w="4988"/>
            <w:tcMar>
              <w:top w:w="100" w:type="dxa"/>
              <w:start w:w="115" w:type="dxa"/>
              <w:bottom w:w="100" w:type="dxa"/>
              <w:end w:w="115" w:type="dxa"/>
            </w:tcMar>
            <w:shd w:val="clear" w:color="auto" w:fill="F4F7FB"/>
          </w:tcPr>
          <w:p>
            <w:r>
              <w:rPr>
                <w:rFonts w:ascii="Aptos" w:hAnsi="Aptos"/>
                <w:b/>
                <w:i w:val="0"/>
                <w:color w:val="17365D"/>
                <w:sz w:val="18"/>
              </w:rPr>
              <w:t>Evidência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sz w:val="17"/>
              </w:rPr>
              <w:t>Fatos efetivamente observados: PID, UID, unit, caminho, modo, socket, cadeia PPID.</w:t>
            </w:r>
          </w:p>
        </w:tc>
        <w:tc>
          <w:tcPr>
            <w:tcW w:type="dxa" w:w="4988"/>
            <w:tcMar>
              <w:top w:w="100" w:type="dxa"/>
              <w:start w:w="115" w:type="dxa"/>
              <w:bottom w:w="100" w:type="dxa"/>
              <w:end w:w="115" w:type="dxa"/>
            </w:tcMar>
            <w:shd w:val="clear" w:color="auto" w:fill="F4F7FB"/>
          </w:tcPr>
          <w:p>
            <w:r>
              <w:rPr>
                <w:rFonts w:ascii="Aptos" w:hAnsi="Aptos"/>
                <w:b/>
                <w:i w:val="0"/>
                <w:color w:val="17365D"/>
                <w:sz w:val="18"/>
              </w:rPr>
              <w:t>Interpretação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sz w:val="17"/>
              </w:rPr>
              <w:t>Significado técnico sustentado pelos fatos, sem extrapolar além do observado.</w:t>
            </w:r>
          </w:p>
        </w:tc>
      </w:tr>
      <w:tr>
        <w:tc>
          <w:tcPr>
            <w:tcW w:type="dxa" w:w="4988"/>
            <w:tcMar>
              <w:top w:w="100" w:type="dxa"/>
              <w:start w:w="115" w:type="dxa"/>
              <w:bottom w:w="100" w:type="dxa"/>
              <w:end w:w="115" w:type="dxa"/>
            </w:tcMar>
            <w:shd w:val="clear" w:color="auto" w:fill="F4F7FB"/>
          </w:tcPr>
          <w:p>
            <w:r>
              <w:rPr>
                <w:rFonts w:ascii="Aptos" w:hAnsi="Aptos"/>
                <w:b/>
                <w:i w:val="0"/>
                <w:color w:val="17365D"/>
                <w:sz w:val="18"/>
              </w:rPr>
              <w:t>Hipótese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sz w:val="17"/>
              </w:rPr>
              <w:t>Explicação possível para a relação encontrada; não é apresentada como fato.</w:t>
            </w:r>
          </w:p>
        </w:tc>
        <w:tc>
          <w:tcPr>
            <w:tcW w:type="dxa" w:w="4988"/>
            <w:tcMar>
              <w:top w:w="100" w:type="dxa"/>
              <w:start w:w="115" w:type="dxa"/>
              <w:bottom w:w="100" w:type="dxa"/>
              <w:end w:w="115" w:type="dxa"/>
            </w:tcMar>
            <w:shd w:val="clear" w:color="auto" w:fill="F4F7FB"/>
          </w:tcPr>
          <w:p>
            <w:r>
              <w:rPr>
                <w:rFonts w:ascii="Aptos" w:hAnsi="Aptos"/>
                <w:b/>
                <w:i w:val="0"/>
                <w:color w:val="17365D"/>
                <w:sz w:val="18"/>
              </w:rPr>
              <w:t>Evidência ausente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sz w:val="17"/>
              </w:rPr>
              <w:t>Dados necessários para confirmar ou rejeitar a hipótese, incluindo limitações de coleta.</w:t>
            </w:r>
          </w:p>
        </w:tc>
      </w:tr>
    </w:tbl>
    <w:p>
      <w:pPr>
        <w:spacing w:before="40" w:after="40"/>
      </w:pPr>
      <w:r>
        <w:rPr>
          <w:rFonts w:ascii="Aptos" w:hAnsi="Aptos"/>
          <w:b/>
          <w:color w:val="365F91"/>
          <w:sz w:val="21"/>
        </w:rPr>
        <w:t>Decisões técnicas relevantes</w:t>
      </w:r>
    </w:p>
    <w:p>
      <w:pPr>
        <w:pStyle w:val="ListBullet"/>
        <w:spacing w:after="36" w:line="240" w:lineRule="auto"/>
        <w:ind w:left="198" w:hanging="85"/>
      </w:pPr>
      <w:r>
        <w:rPr>
          <w:rFonts w:ascii="Aptos" w:hAnsi="Aptos"/>
          <w:sz w:val="17"/>
        </w:rPr>
        <w:t>Permissões são analisadas apenas em recursos relacionados a processos/serviços e no pai imediato; não há varredura global do filesystem.</w:t>
      </w:r>
    </w:p>
    <w:p>
      <w:pPr>
        <w:pStyle w:val="ListBullet"/>
        <w:spacing w:after="36" w:line="240" w:lineRule="auto"/>
        <w:ind w:left="198" w:hanging="85"/>
      </w:pPr>
      <w:r>
        <w:rPr>
          <w:rFonts w:ascii="Aptos" w:hAnsi="Aptos"/>
          <w:sz w:val="17"/>
        </w:rPr>
        <w:t>ExecStart ambíguo não é executado nem “adivinhado”; a lacuna é registrada como issue.</w:t>
      </w:r>
    </w:p>
    <w:p>
      <w:pPr>
        <w:pStyle w:val="ListBullet"/>
        <w:spacing w:after="36" w:line="240" w:lineRule="auto"/>
        <w:ind w:left="198" w:hanging="85"/>
      </w:pPr>
      <w:r>
        <w:rPr>
          <w:rFonts w:ascii="Aptos" w:hAnsi="Aptos"/>
          <w:sz w:val="17"/>
        </w:rPr>
        <w:t>Falhas parciais (AccessDenied, processo encerrado, systemd indisponível, stat falhando) não abortam o snapshot.</w:t>
      </w:r>
    </w:p>
    <w:p>
      <w:pPr>
        <w:pStyle w:val="ListBullet"/>
        <w:spacing w:after="36" w:line="240" w:lineRule="auto"/>
        <w:ind w:left="198" w:hanging="85"/>
      </w:pPr>
      <w:r>
        <w:rPr>
          <w:rFonts w:ascii="Aptos" w:hAnsi="Aptos"/>
          <w:sz w:val="17"/>
        </w:rPr>
        <w:t>Não há banco, daemon, dashboard ou LLM no núcleo; a única dependência de runtime é psutil.</w:t>
      </w:r>
    </w:p>
    <w:p>
      <w:pPr>
        <w:pStyle w:val="ListBullet"/>
        <w:spacing w:after="36" w:line="240" w:lineRule="auto"/>
        <w:ind w:left="198" w:hanging="85"/>
      </w:pPr>
      <w:r>
        <w:rPr/>
        <w:t>Scripts absolutos em ExecStart simples são analisados junto ao interpretador; formas ambíguas geram issue.</w:t>
      </w:r>
    </w:p>
    <w:p>
      <w:pPr>
        <w:pStyle w:val="ListBullet"/>
        <w:spacing w:after="36" w:line="240" w:lineRule="auto"/>
        <w:ind w:left="198" w:hanging="85"/>
      </w:pPr>
      <w:r>
        <w:rPr/>
        <w:t>C1 considera escrita direta e substituição pelo diretório pai imediato; group-writable isolado permanece inconclusivo.</w:t>
      </w:r>
    </w:p>
    <w:p>
      <w:pPr>
        <w:pStyle w:val="ListBullet"/>
        <w:spacing w:after="36" w:line="240" w:lineRule="auto"/>
        <w:ind w:left="198" w:hanging="85"/>
      </w:pPr>
      <w:r>
        <w:rPr/>
        <w:t>C3 considera relevantes MainPIDs de serviços observados e processos associados a listeners, evitando gerar contexto para toda a árvore.</w:t>
      </w:r>
    </w:p>
    <w:p>
      <w:r>
        <w:rPr/>
        <w:br w:type="page"/>
      </w:r>
    </w:p>
    <w:p>
      <w:pPr>
        <w:spacing w:before="80" w:after="60"/>
      </w:pPr>
      <w:r>
        <w:rPr>
          <w:rFonts w:ascii="Aptos" w:hAnsi="Aptos"/>
          <w:b/>
          <w:color w:val="17365D"/>
          <w:sz w:val="26"/>
        </w:rPr>
        <w:t>4. Validação e resultados</w:t>
      </w:r>
    </w:p>
    <w:p>
      <w:pPr>
        <w:spacing w:after="80" w:line="252" w:lineRule="auto"/>
      </w:pPr>
      <w:r>
        <w:rPr>
          <w:rFonts w:ascii="Aptos" w:hAnsi="Aptos"/>
          <w:b w:val="0"/>
          <w:i w:val="0"/>
          <w:sz w:val="19"/>
        </w:rPr>
        <w:t>A solução foi validada em testes unitários, correlações, cenários end-to-end, execução real na Kali e com o generator da disciplina. Em 05/10/2026, a suíte completa em Python 3.13.12 e pytest 9.1.1 aprovou 174 testes. O B8 também executa o generator real com seeds 5/1/2 e verifica que analyze-dataset não consulta o host.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4C6E7"/>
          <w:left w:val="single" w:sz="4" w:color="B4C6E7"/>
          <w:bottom w:val="single" w:sz="4" w:color="B4C6E7"/>
          <w:right w:val="single" w:sz="4" w:color="B4C6E7"/>
          <w:insideH w:val="single" w:sz="4" w:color="B4C6E7"/>
          <w:insideV w:val="single" w:sz="4" w:color="B4C6E7"/>
        </w:tblBorders>
      </w:tblPr>
      <w:tblGrid>
        <w:gridCol w:w="3231"/>
        <w:gridCol w:w="3231"/>
        <w:gridCol w:w="3231"/>
      </w:tblGrid>
      <w:tr>
        <w:tc>
          <w:tcPr>
            <w:tcW w:type="dxa" w:w="3231"/>
            <w:tcMar>
              <w:top w:w="90" w:type="dxa"/>
              <w:start w:w="70" w:type="dxa"/>
              <w:bottom w:w="90" w:type="dxa"/>
              <w:end w:w="70" w:type="dxa"/>
            </w:tcMar>
            <w:shd w:val="clear" w:color="auto" w:fill="EAF1F8"/>
          </w:tcPr>
          <w:p>
            <w:pPr>
              <w:jc w:val="center"/>
            </w:pPr>
            <w:r>
              <w:rPr>
                <w:rFonts w:ascii="Aptos" w:hAnsi="Aptos"/>
                <w:b/>
                <w:color w:val="17365D"/>
                <w:sz w:val="26"/>
              </w:rPr>
              <w:t>174 / 174</w:t>
            </w:r>
          </w:p>
          <w:p>
            <w:pPr>
              <w:jc w:val="center"/>
            </w:pPr>
            <w:r>
              <w:rPr>
                <w:rFonts w:ascii="Aptos" w:hAnsi="Aptos"/>
                <w:color w:val="595959"/>
                <w:sz w:val="16"/>
              </w:rPr>
              <w:t>testes aprovados</w:t>
            </w:r>
          </w:p>
        </w:tc>
        <w:tc>
          <w:tcPr>
            <w:tcW w:type="dxa" w:w="3231"/>
            <w:tcMar>
              <w:top w:w="90" w:type="dxa"/>
              <w:start w:w="70" w:type="dxa"/>
              <w:bottom w:w="90" w:type="dxa"/>
              <w:end w:w="70" w:type="dxa"/>
            </w:tcMar>
            <w:shd w:val="clear" w:color="auto" w:fill="EAF1F8"/>
          </w:tcPr>
          <w:p>
            <w:pPr>
              <w:jc w:val="center"/>
            </w:pPr>
            <w:r>
              <w:rPr>
                <w:rFonts w:ascii="Aptos" w:hAnsi="Aptos"/>
                <w:b/>
                <w:color w:val="17365D"/>
                <w:sz w:val="26"/>
              </w:rPr>
              <w:t>3 seeds</w:t>
            </w:r>
          </w:p>
          <w:p>
            <w:pPr>
              <w:jc w:val="center"/>
            </w:pPr>
            <w:r>
              <w:rPr>
                <w:rFonts w:ascii="Aptos" w:hAnsi="Aptos"/>
                <w:color w:val="595959"/>
                <w:sz w:val="16"/>
              </w:rPr>
              <w:t>generator real: 5, 1 e 2</w:t>
            </w:r>
          </w:p>
        </w:tc>
        <w:tc>
          <w:tcPr>
            <w:tcW w:type="dxa" w:w="3231"/>
            <w:tcMar>
              <w:top w:w="90" w:type="dxa"/>
              <w:start w:w="70" w:type="dxa"/>
              <w:bottom w:w="90" w:type="dxa"/>
              <w:end w:w="70" w:type="dxa"/>
            </w:tcMar>
            <w:shd w:val="clear" w:color="auto" w:fill="EAF1F8"/>
          </w:tcPr>
          <w:p>
            <w:pPr>
              <w:jc w:val="center"/>
            </w:pPr>
            <w:r>
              <w:rPr>
                <w:rFonts w:ascii="Aptos" w:hAnsi="Aptos"/>
                <w:b/>
                <w:color w:val="17365D"/>
                <w:sz w:val="26"/>
              </w:rPr>
              <w:t>4 fixtures</w:t>
            </w:r>
          </w:p>
          <w:p>
            <w:pPr>
              <w:jc w:val="center"/>
            </w:pPr>
            <w:r>
              <w:rPr>
                <w:rFonts w:ascii="Aptos" w:hAnsi="Aptos"/>
                <w:color w:val="595959"/>
                <w:sz w:val="16"/>
              </w:rPr>
              <w:t>normal, unsafe_service, listener, partial</w:t>
            </w:r>
          </w:p>
        </w:tc>
      </w:tr>
    </w:tbl>
    <w:p>
      <w:pPr>
        <w:spacing w:before="40" w:after="40"/>
      </w:pPr>
      <w:r>
        <w:rPr>
          <w:rFonts w:ascii="Aptos" w:hAnsi="Aptos"/>
          <w:b/>
          <w:color w:val="365F91"/>
          <w:sz w:val="21"/>
        </w:rPr>
        <w:t>Cenários reproduzíveis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E2F3"/>
          <w:left w:val="single" w:sz="4" w:color="D9E2F3"/>
          <w:bottom w:val="single" w:sz="4" w:color="D9E2F3"/>
          <w:right w:val="single" w:sz="4" w:color="D9E2F3"/>
          <w:insideH w:val="single" w:sz="4" w:color="D9E2F3"/>
          <w:insideV w:val="single" w:sz="4" w:color="D9E2F3"/>
        </w:tblBorders>
      </w:tblPr>
      <w:tblGrid>
        <w:gridCol w:w="1814"/>
        <w:gridCol w:w="4932"/>
        <w:gridCol w:w="2948"/>
      </w:tblGrid>
      <w:tr>
        <w:tc>
          <w:tcPr>
            <w:tcW w:type="dxa" w:w="1814"/>
            <w:shd w:val="clear" w:color="auto" w:fill="D9E2F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r>
              <w:rPr>
                <w:rFonts w:ascii="Aptos" w:hAnsi="Aptos"/>
                <w:b/>
                <w:i w:val="0"/>
                <w:color w:val="17365D"/>
                <w:sz w:val="19"/>
              </w:rPr>
              <w:t>Cenário</w:t>
            </w:r>
          </w:p>
        </w:tc>
        <w:tc>
          <w:tcPr>
            <w:tcW w:type="dxa" w:w="4932"/>
            <w:shd w:val="clear" w:color="auto" w:fill="D9E2F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r>
              <w:rPr>
                <w:rFonts w:ascii="Aptos" w:hAnsi="Aptos"/>
                <w:b/>
                <w:i w:val="0"/>
                <w:color w:val="17365D"/>
                <w:sz w:val="19"/>
              </w:rPr>
              <w:t>Evidência principal</w:t>
            </w:r>
          </w:p>
        </w:tc>
        <w:tc>
          <w:tcPr>
            <w:tcW w:type="dxa" w:w="2948"/>
            <w:shd w:val="clear" w:color="auto" w:fill="D9E2F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r>
              <w:rPr>
                <w:rFonts w:ascii="Aptos" w:hAnsi="Aptos"/>
                <w:b/>
                <w:i w:val="0"/>
                <w:color w:val="17365D"/>
                <w:sz w:val="19"/>
              </w:rPr>
              <w:t>Resultado esperado</w:t>
            </w:r>
          </w:p>
        </w:tc>
      </w:tr>
      <w:tr>
        <w:tc>
          <w:tcPr>
            <w:tcW w:type="dxa" w:w="1814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r>
              <w:rPr>
                <w:rFonts w:ascii="Aptos" w:hAnsi="Aptos"/>
                <w:b/>
                <w:i w:val="0"/>
                <w:sz w:val="19"/>
              </w:rPr>
              <w:t>normal</w:t>
            </w:r>
          </w:p>
        </w:tc>
        <w:tc>
          <w:tcPr>
            <w:tcW w:type="dxa" w:w="4932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r>
              <w:rPr>
                <w:rFonts w:ascii="Aptos" w:hAnsi="Aptos"/>
                <w:b w:val="0"/>
                <w:i w:val="0"/>
                <w:sz w:val="19"/>
              </w:rPr>
              <w:t>Serviço UID 0 com recursos 0755/0644 controlados por root</w:t>
            </w:r>
          </w:p>
        </w:tc>
        <w:tc>
          <w:tcPr>
            <w:tcW w:type="dxa" w:w="2948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r>
              <w:rPr>
                <w:rFonts w:ascii="Aptos" w:hAnsi="Aptos"/>
                <w:b w:val="0"/>
                <w:i w:val="0"/>
                <w:sz w:val="19"/>
              </w:rPr>
              <w:t>Sem C1; C3 informational</w:t>
            </w:r>
          </w:p>
        </w:tc>
      </w:tr>
      <w:tr>
        <w:tc>
          <w:tcPr>
            <w:tcW w:type="dxa" w:w="1814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r>
              <w:rPr>
                <w:rFonts w:ascii="Aptos" w:hAnsi="Aptos"/>
                <w:b/>
                <w:i w:val="0"/>
                <w:sz w:val="19"/>
              </w:rPr>
              <w:t>unsafe_service</w:t>
            </w:r>
          </w:p>
        </w:tc>
        <w:tc>
          <w:tcPr>
            <w:tcW w:type="dxa" w:w="4932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r>
              <w:rPr>
                <w:rFonts w:ascii="Aptos" w:hAnsi="Aptos"/>
                <w:b w:val="0"/>
                <w:i w:val="0"/>
                <w:sz w:val="19"/>
              </w:rPr>
              <w:t>/opt/demo/worker com modo 0777 executado por serviço privilegiado</w:t>
            </w:r>
          </w:p>
        </w:tc>
        <w:tc>
          <w:tcPr>
            <w:tcW w:type="dxa" w:w="2948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r>
              <w:rPr>
                <w:rFonts w:ascii="Aptos" w:hAnsi="Aptos"/>
                <w:b w:val="0"/>
                <w:i w:val="0"/>
                <w:sz w:val="19"/>
              </w:rPr>
              <w:t>C1 needs_review + C3 informational</w:t>
            </w:r>
          </w:p>
        </w:tc>
      </w:tr>
      <w:tr>
        <w:tc>
          <w:tcPr>
            <w:tcW w:type="dxa" w:w="1814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r>
              <w:rPr>
                <w:rFonts w:ascii="Aptos" w:hAnsi="Aptos"/>
                <w:b/>
                <w:i w:val="0"/>
                <w:sz w:val="19"/>
              </w:rPr>
              <w:t>listener</w:t>
            </w:r>
          </w:p>
        </w:tc>
        <w:tc>
          <w:tcPr>
            <w:tcW w:type="dxa" w:w="4932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r>
              <w:rPr>
                <w:rFonts w:ascii="Aptos" w:hAnsi="Aptos"/>
                <w:b w:val="0"/>
                <w:i w:val="0"/>
                <w:sz w:val="19"/>
              </w:rPr>
              <w:t>Socket 0.0.0.0:8080 no PID 43; cadeia 43 → 42 alcança MainPID</w:t>
            </w:r>
          </w:p>
        </w:tc>
        <w:tc>
          <w:tcPr>
            <w:tcW w:type="dxa" w:w="2948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r>
              <w:rPr>
                <w:rFonts w:ascii="Aptos" w:hAnsi="Aptos"/>
                <w:b w:val="0"/>
                <w:i w:val="0"/>
                <w:sz w:val="19"/>
              </w:rPr>
              <w:t>C2 descendant_of_main_pid + dois C3 informational</w:t>
            </w:r>
          </w:p>
        </w:tc>
      </w:tr>
      <w:tr>
        <w:tc>
          <w:tcPr>
            <w:tcW w:type="dxa" w:w="1814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r>
              <w:rPr>
                <w:rFonts w:ascii="Aptos" w:hAnsi="Aptos"/>
                <w:b/>
                <w:i w:val="0"/>
                <w:sz w:val="19"/>
              </w:rPr>
              <w:t>partial</w:t>
            </w:r>
          </w:p>
        </w:tc>
        <w:tc>
          <w:tcPr>
            <w:tcW w:type="dxa" w:w="4932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r>
              <w:rPr>
                <w:rFonts w:ascii="Aptos" w:hAnsi="Aptos"/>
                <w:b w:val="0"/>
                <w:i w:val="0"/>
                <w:sz w:val="19"/>
              </w:rPr>
              <w:t>UID, permissões e pai indisponíveis</w:t>
            </w:r>
          </w:p>
        </w:tc>
        <w:tc>
          <w:tcPr>
            <w:tcW w:type="dxa" w:w="2948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r>
              <w:rPr>
                <w:rFonts w:ascii="Aptos" w:hAnsi="Aptos"/>
                <w:b w:val="0"/>
                <w:i w:val="0"/>
                <w:sz w:val="19"/>
              </w:rPr>
              <w:t>C1/C2/C3 inconclusive</w:t>
            </w:r>
          </w:p>
        </w:tc>
      </w:tr>
      <w:tr>
        <w:tc>
          <w:tcPr>
            <w:tcW w:type="dxa" w:w="1814"/>
          </w:tcPr>
          <w:p>
            <w:pPr/>
            <w:r>
              <w:rPr>
                <w:rFonts w:ascii="Aptos" w:hAnsi="Aptos"/>
                <w:b/>
                <w:sz w:val="19"/>
              </w:rPr>
              <w:t>dataset professor</w:t>
              <w:br/>
              <w:t>(seed 5)</w:t>
            </w:r>
          </w:p>
        </w:tc>
        <w:tc>
          <w:tcPr>
            <w:tcW w:type="dxa" w:w="4932"/>
          </w:tcPr>
          <w:p>
            <w:pPr/>
            <w:r>
              <w:rPr>
                <w:rFonts w:ascii="Aptos" w:hAnsi="Aptos"/>
                <w:sz w:val="19"/>
              </w:rPr>
              <w:t>backup-agent.service → PID 2417; /opt/backup/backup.sh 0777</w:t>
            </w:r>
          </w:p>
        </w:tc>
        <w:tc>
          <w:tcPr>
            <w:tcW w:type="dxa" w:w="2948"/>
          </w:tcPr>
          <w:p>
            <w:pPr/>
            <w:r>
              <w:rPr>
                <w:rFonts w:ascii="Aptos" w:hAnsi="Aptos"/>
                <w:sz w:val="19"/>
              </w:rPr>
              <w:t>C1 needs_review; MainPID inferido com proveniência explícita</w:t>
            </w:r>
          </w:p>
        </w:tc>
      </w:tr>
    </w:tbl>
    <w:p>
      <w:pPr>
        <w:spacing w:before="40" w:after="40"/>
      </w:pPr>
      <w:r>
        <w:rPr>
          <w:rFonts w:ascii="Aptos" w:hAnsi="Aptos"/>
          <w:b/>
          <w:color w:val="365F91"/>
          <w:sz w:val="21"/>
        </w:rPr>
        <w:t>Execução real na Kali</w:t>
      </w:r>
    </w:p>
    <w:p>
      <w:pPr>
        <w:spacing w:after="80" w:line="252" w:lineRule="auto"/>
      </w:pPr>
      <w:r>
        <w:rPr>
          <w:rFonts w:ascii="Aptos" w:hAnsi="Aptos"/>
          <w:b w:val="0"/>
          <w:i w:val="0"/>
          <w:sz w:val="18"/>
        </w:rPr>
        <w:t xml:space="preserve">Um scan manual do host, </w:t>
      </w:r>
      <w:r>
        <w:rPr>
          <w:rFonts w:ascii="Aptos" w:hAnsi="Aptos"/>
          <w:b w:val="0"/>
          <w:i w:val="0"/>
          <w:sz w:val="18"/>
        </w:rPr>
        <w:t xml:space="preserve">executado como usuário sem privilégios (sem sudo)</w:t>
      </w:r>
      <w:r>
        <w:rPr>
          <w:rFonts w:ascii="Aptos" w:hAnsi="Aptos"/>
          <w:b w:val="0"/>
          <w:i w:val="0"/>
          <w:sz w:val="18"/>
        </w:rPr>
        <w:t xml:space="preserve">, coletou 175 processos, 21 serviços, 1 socket e 101 registros de permissões. O relatório registrou 97 issues de coleta — principalmente campos de executáveis inacessíveis sem privilégios, visibilidade limitada de sockets e ExecStart não resolvido — e produziu 20 findings informational, 0 needs_review e 6 inconclusive. Esse resultado é coerente com o projeto: limitações são preservadas como evidência ausente, e a ausência de um sinal forte não é convertida artificialmente em alerta.</w:t>
      </w:r>
    </w:p>
    <w:p>
      <w:pPr>
        <w:spacing w:before="40" w:after="40"/>
      </w:pPr>
      <w:r>
        <w:rPr>
          <w:rFonts w:ascii="Aptos" w:hAnsi="Aptos"/>
          <w:b/>
          <w:color w:val="365F91"/>
          <w:sz w:val="21"/>
        </w:rPr>
        <w:t>Exemplos observados na validação</w:t>
      </w:r>
    </w:p>
    <w:p>
      <w:pPr>
        <w:pStyle w:val="ListBullet"/>
        <w:spacing w:after="36" w:line="240" w:lineRule="auto"/>
        <w:ind w:left="198" w:hanging="85"/>
      </w:pPr>
      <w:r>
        <w:rPr>
          <w:rFonts w:ascii="Aptos" w:hAnsi="Aptos"/>
          <w:sz w:val="17"/>
        </w:rPr>
        <w:t>C1 (unsafe_service): serviço ativo, MainPID 42, UID 0 e /opt/demo/worker em 0777 → interpretação de escrita direta por não-root → needs_review, sem afirmar exploração.</w:t>
      </w:r>
    </w:p>
    <w:p>
      <w:pPr>
        <w:pStyle w:val="ListBullet"/>
        <w:spacing w:after="36" w:line="240" w:lineRule="auto"/>
        <w:ind w:left="198" w:hanging="85"/>
      </w:pPr>
      <w:r>
        <w:rPr>
          <w:rFonts w:ascii="Aptos" w:hAnsi="Aptos"/>
          <w:sz w:val="17"/>
        </w:rPr>
        <w:t>C2 (listener): socket PID 43 → PPID 42 → demo.service; evidência registra association=descendant_of_main_pid e cadeia 43 → 42 → informational.</w:t>
      </w:r>
    </w:p>
    <w:p>
      <w:pPr>
        <w:pStyle w:val="ListBullet"/>
        <w:spacing w:after="36" w:line="240" w:lineRule="auto"/>
        <w:ind w:left="198" w:hanging="85"/>
      </w:pPr>
      <w:r>
        <w:rPr>
          <w:rFonts w:ascii="Aptos" w:hAnsi="Aptos"/>
          <w:sz w:val="17"/>
        </w:rPr>
        <w:t>C1/C2/C3 (partial): identidade, permissões e pai ausentes → três resultados inconclusive, preservando explicitamente as lacunas.</w:t>
      </w:r>
    </w:p>
    <w:p>
      <w:pPr>
        <w:spacing w:before="40" w:after="40"/>
      </w:pPr>
      <w:r>
        <w:rPr>
          <w:rFonts w:ascii="Aptos" w:hAnsi="Aptos"/>
          <w:b/>
          <w:color w:val="365F91"/>
          <w:sz w:val="21"/>
        </w:rPr>
        <w:t>Exemplo de finding completo (C1, cenário unsafe_service — resumido)</w:t>
      </w:r>
    </w:p>
    <w:tbl>
      <w:tblPr>
        <w:tblW w:type="dxa" w:w="9694"/>
        <w:jc w:val="center"/>
        <w:tblBorders>
          <w:top w:val="single" w:sz="4" w:color="D9E2F3"/>
          <w:left w:val="single" w:sz="4" w:color="D9E2F3"/>
          <w:bottom w:val="single" w:sz="4" w:color="D9E2F3"/>
          <w:right w:val="single" w:sz="4" w:color="D9E2F3"/>
          <w:insideH w:val="single" w:sz="4" w:color="D9E2F3"/>
          <w:insideV w:val="single" w:sz="4" w:color="D9E2F3"/>
        </w:tblBorders>
        <w:tblLayout w:type="fixed"/>
        <w:tblLook w:val="04A0" w:firstRow="1" w:lastRow="0" w:firstColumn="1" w:lastColumn="0" w:noHBand="0" w:noVBand="1"/>
      </w:tblPr>
      <w:tblGrid>
        <w:gridCol w:w="1900"/>
        <w:gridCol w:w="7794"/>
      </w:tblGrid>
      <w:tr>
        <w:tc>
          <w:tcPr>
            <w:tcW w:w="1900" w:type="dxa"/>
            <w:shd w:val="clear" w:color="auto" w:fill="D9E2F3"/>
            <w:tcMar>
              <w:top w:w="45" w:type="dxa"/>
              <w:start w:w="70" w:type="dxa"/>
              <w:bottom w:w="4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17365D"/>
                <w:sz w:val="16"/>
              </w:rPr>
              <w:t xml:space="preserve">Campo</w:t>
            </w:r>
          </w:p>
        </w:tc>
        <w:tc>
          <w:tcPr>
            <w:tcW w:w="7794" w:type="dxa"/>
            <w:shd w:val="clear" w:color="auto" w:fill="D9E2F3"/>
            <w:tcMar>
              <w:top w:w="45" w:type="dxa"/>
              <w:start w:w="70" w:type="dxa"/>
              <w:bottom w:w="4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17365D"/>
                <w:sz w:val="16"/>
              </w:rPr>
              <w:t xml:space="preserve">Conteúdo</w:t>
            </w:r>
          </w:p>
        </w:tc>
      </w:tr>
      <w:tr>
        <w:tc>
          <w:tcPr>
            <w:tcW w:w="1900" w:type="dxa"/>
            <w:tcMar>
              <w:top w:w="45" w:type="dxa"/>
              <w:start w:w="70" w:type="dxa"/>
              <w:bottom w:w="4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sz w:val="16"/>
              </w:rPr>
              <w:t xml:space="preserve">Evidência</w:t>
            </w:r>
          </w:p>
        </w:tc>
        <w:tc>
          <w:tcPr>
            <w:tcW w:w="7794" w:type="dxa"/>
            <w:tcMar>
              <w:top w:w="45" w:type="dxa"/>
              <w:start w:w="70" w:type="dxa"/>
              <w:bottom w:w="4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sz w:val="16"/>
              </w:rPr>
              <w:t xml:space="preserve">Serviço ativo; MainPID 42; UID efetivo 0; recurso /opt/demo/worker com modo 0777.</w:t>
            </w:r>
          </w:p>
        </w:tc>
      </w:tr>
      <w:tr>
        <w:tc>
          <w:tcPr>
            <w:tcW w:w="1900" w:type="dxa"/>
            <w:tcMar>
              <w:top w:w="45" w:type="dxa"/>
              <w:start w:w="70" w:type="dxa"/>
              <w:bottom w:w="4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sz w:val="16"/>
              </w:rPr>
              <w:t xml:space="preserve">Interpretação</w:t>
            </w:r>
          </w:p>
        </w:tc>
        <w:tc>
          <w:tcPr>
            <w:tcW w:w="7794" w:type="dxa"/>
            <w:tcMar>
              <w:top w:w="45" w:type="dxa"/>
              <w:start w:w="70" w:type="dxa"/>
              <w:bottom w:w="45" w:type="dxa"/>
              <w:end w:w="70" w:type="dxa"/>
            </w:tcMar>
          </w:tcPr>
          <w:p>
            <w:r>
              <w:rPr/>
              <w:t>Pelos bits POSIX observados, o recurso possui escrita para “outros”, indicando possibilidade de modificação por identidade não-root.</w:t>
            </w:r>
          </w:p>
        </w:tc>
      </w:tr>
      <w:tr>
        <w:tc>
          <w:tcPr>
            <w:tcW w:w="1900" w:type="dxa"/>
            <w:tcMar>
              <w:top w:w="45" w:type="dxa"/>
              <w:start w:w="70" w:type="dxa"/>
              <w:bottom w:w="4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sz w:val="16"/>
              </w:rPr>
              <w:t xml:space="preserve">Hipótese</w:t>
            </w:r>
          </w:p>
        </w:tc>
        <w:tc>
          <w:tcPr>
            <w:tcW w:w="7794" w:type="dxa"/>
            <w:tcMar>
              <w:top w:w="45" w:type="dxa"/>
              <w:start w:w="70" w:type="dxa"/>
              <w:bottom w:w="4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sz w:val="16"/>
              </w:rPr>
              <w:t xml:space="preserve">Possível relação de privilégio insegura (configuração inadequada). Não indica que o arquivo foi alterado nem que houve exploração.</w:t>
            </w:r>
          </w:p>
        </w:tc>
      </w:tr>
      <w:tr>
        <w:tc>
          <w:tcPr>
            <w:tcW w:w="1900" w:type="dxa"/>
            <w:tcMar>
              <w:top w:w="45" w:type="dxa"/>
              <w:start w:w="70" w:type="dxa"/>
              <w:bottom w:w="4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sz w:val="16"/>
              </w:rPr>
              <w:t xml:space="preserve">Evidência ausente</w:t>
            </w:r>
          </w:p>
        </w:tc>
        <w:tc>
          <w:tcPr>
            <w:tcW w:w="7794" w:type="dxa"/>
            <w:tcMar>
              <w:top w:w="45" w:type="dxa"/>
              <w:start w:w="70" w:type="dxa"/>
              <w:bottom w:w="4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sz w:val="16"/>
              </w:rPr>
              <w:t xml:space="preserve">Integridade/histórico do arquivo (hash de referência), ACLs, flags de mount (ro/noexec), atributos imutáveis e logs que liguem alguma alteração a um usuário.</w:t>
            </w:r>
          </w:p>
        </w:tc>
      </w:tr>
      <w:tr>
        <w:tc>
          <w:tcPr>
            <w:tcW w:w="1900" w:type="dxa"/>
            <w:tcMar>
              <w:top w:w="45" w:type="dxa"/>
              <w:start w:w="70" w:type="dxa"/>
              <w:bottom w:w="4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sz w:val="16"/>
              </w:rPr>
              <w:t xml:space="preserve">Resultado</w:t>
            </w:r>
          </w:p>
        </w:tc>
        <w:tc>
          <w:tcPr>
            <w:tcW w:w="7794" w:type="dxa"/>
            <w:tcMar>
              <w:top w:w="45" w:type="dxa"/>
              <w:start w:w="70" w:type="dxa"/>
              <w:bottom w:w="4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sz w:val="16"/>
              </w:rPr>
              <w:t xml:space="preserve">needs_review</w:t>
            </w:r>
          </w:p>
        </w:tc>
      </w:tr>
    </w:tbl>
    <w:p>
      <w:pPr>
        <w:spacing w:before="40" w:after="40"/>
      </w:pPr>
      <w:r>
        <w:rPr>
          <w:rFonts w:ascii="Aptos" w:hAnsi="Aptos"/>
          <w:b/>
          <w:color w:val="365F91"/>
          <w:sz w:val="21"/>
        </w:rPr>
        <w:t>Reprodutibilidade</w:t>
      </w:r>
    </w:p>
    <w:p>
      <w:pPr>
        <w:spacing w:after="30" w:line="252" w:lineRule="auto"/>
      </w:pPr>
      <w:r>
        <w:rPr>
          <w:rFonts w:ascii="Aptos" w:hAnsi="Aptos"/>
          <w:b w:val="0"/>
          <w:i w:val="0"/>
          <w:sz w:val="17"/>
        </w:rPr>
        <w:t>A análise offline reutiliza as mesmas correlações do scan e não consulta o host. Snapshots reais podem ser salvos em snapshots-local/ (ignorada pelo Git) com modo 0600. Desde B8, analyze-dataset também normaliza a saída do generator do professor sem executar comandos ou consultar caminhos do dataset. O MainPID inferido exige correspondência única e exata entre ExecStart e cmd e sua proveniência é registrada como lacuna.</w:t>
      </w:r>
    </w:p>
    <w:p>
      <w:r>
        <w:rPr/>
        <w:br w:type="page"/>
      </w:r>
    </w:p>
    <w:p>
      <w:pPr>
        <w:spacing w:before="80" w:after="60"/>
      </w:pPr>
      <w:r>
        <w:rPr>
          <w:rFonts w:ascii="Aptos" w:hAnsi="Aptos"/>
          <w:b/>
          <w:color w:val="17365D"/>
          <w:sz w:val="26"/>
        </w:rPr>
        <w:t>5. Limitações, uso de IA e conclusão</w:t>
      </w:r>
    </w:p>
    <w:p>
      <w:pPr>
        <w:spacing w:before="40" w:after="40"/>
      </w:pPr>
      <w:r>
        <w:rPr>
          <w:rFonts w:ascii="Aptos" w:hAnsi="Aptos"/>
          <w:b/>
          <w:color w:val="365F91"/>
          <w:sz w:val="21"/>
        </w:rPr>
        <w:t>Limitações conhecidas</w:t>
      </w:r>
    </w:p>
    <w:p>
      <w:pPr>
        <w:pStyle w:val="ListBullet"/>
        <w:spacing w:after="36" w:line="240" w:lineRule="auto"/>
        <w:ind w:left="198" w:hanging="85"/>
      </w:pPr>
      <w:r>
        <w:rPr>
          <w:rFonts w:ascii="Aptos" w:hAnsi="Aptos"/>
          <w:sz w:val="17"/>
        </w:rPr>
        <w:t>Snapshot não atômico: PIDs, arquivos, serviços e sockets podem mudar entre observações; MainPID/PPID não garantem identidade temporal.</w:t>
      </w:r>
    </w:p>
    <w:p>
      <w:pPr>
        <w:pStyle w:val="ListBullet"/>
        <w:spacing w:after="36" w:line="240" w:lineRule="auto"/>
        <w:ind w:left="198" w:hanging="85"/>
      </w:pPr>
      <w:r>
        <w:rPr>
          <w:rFonts w:ascii="Aptos" w:hAnsi="Aptos"/>
          <w:sz w:val="17"/>
        </w:rPr>
        <w:t>Visibilidade depende das permissões e do namespace. Falta de registros ou findings não comprova ausência de atividade ou risco.</w:t>
      </w:r>
    </w:p>
    <w:p>
      <w:pPr>
        <w:pStyle w:val="ListBullet"/>
        <w:spacing w:after="36" w:line="240" w:lineRule="auto"/>
        <w:ind w:left="198" w:hanging="85"/>
      </w:pPr>
      <w:r>
        <w:rPr>
          <w:rFonts w:ascii="Aptos" w:hAnsi="Aptos"/>
          <w:sz w:val="17"/>
        </w:rPr>
        <w:t>Bits POSIX não equivalem a acesso efetivo: ACLs, capabilities, flags de mount, atributos imutáveis, grupos suplementares, symlinks e ancestrais podem alterar a conclusão.</w:t>
      </w:r>
    </w:p>
    <w:p>
      <w:pPr>
        <w:pStyle w:val="ListBullet"/>
        <w:spacing w:after="36" w:line="240" w:lineRule="auto"/>
        <w:ind w:left="198" w:hanging="85"/>
      </w:pPr>
      <w:r>
        <w:rPr>
          <w:rFonts w:ascii="Aptos" w:hAnsi="Aptos"/>
          <w:sz w:val="17"/>
        </w:rPr>
        <w:t>A ancestralidade PPID de C2 é contextual. Cgroups, units .socket, socket activation e PID namespaces/containers não são resolvidos.</w:t>
      </w:r>
    </w:p>
    <w:p>
      <w:pPr>
        <w:pStyle w:val="ListBullet"/>
        <w:spacing w:after="36" w:line="240" w:lineRule="auto"/>
        <w:ind w:left="198" w:hanging="85"/>
      </w:pPr>
      <w:r>
        <w:rPr>
          <w:rFonts w:ascii="Aptos" w:hAnsi="Aptos"/>
          <w:sz w:val="17"/>
        </w:rPr>
        <w:t>ExecStart ambíguo não é expandido; UDP pode representar cliente; firewall, autenticação, intenção de configuração e integridade histórica não são avaliados.</w:t>
      </w:r>
    </w:p>
    <w:p>
      <w:pPr>
        <w:pStyle w:val="ListBullet"/>
        <w:spacing w:after="36" w:line="240" w:lineRule="auto"/>
        <w:ind w:left="198" w:hanging="85"/>
      </w:pPr>
      <w:r>
        <w:rPr>
          <w:rFonts w:ascii="Aptos" w:hAnsi="Aptos"/>
          <w:b/>
          <w:i w:val="0"/>
          <w:sz w:val="17"/>
        </w:rPr>
        <w:t xml:space="preserve">Falsos positivos possíveis: </w:t>
      </w:r>
      <w:r>
        <w:rPr>
          <w:rFonts w:ascii="Aptos" w:hAnsi="Aptos"/>
          <w:b w:val="0"/>
          <w:i w:val="0"/>
          <w:sz w:val="17"/>
        </w:rPr>
        <w:t xml:space="preserve">needs_review para arquivo 0777 cujo acesso real é bloqueado por diretório ancestral restritivo, mount somente leitura ou atributo imutável; associação de socket/processo ao serviço errado em C2 se um PID for reutilizado durante a coleta.</w:t>
      </w:r>
    </w:p>
    <w:p>
      <w:pPr>
        <w:pStyle w:val="ListBullet"/>
        <w:spacing w:after="36" w:line="240" w:lineRule="auto"/>
        <w:ind w:left="198" w:hanging="85"/>
      </w:pPr>
      <w:r>
        <w:rPr>
          <w:rFonts w:ascii="Aptos" w:hAnsi="Aptos"/>
          <w:b/>
          <w:i w:val="0"/>
          <w:sz w:val="17"/>
        </w:rPr>
        <w:t xml:space="preserve">Falsos negativos possíveis: </w:t>
      </w:r>
      <w:r>
        <w:rPr>
          <w:rFonts w:ascii="Aptos" w:hAnsi="Aptos"/>
          <w:b w:val="0"/>
          <w:i w:val="0"/>
          <w:sz w:val="17"/>
        </w:rPr>
        <w:t xml:space="preserve">escrita concedida por ACL, grupo suplementar, capability ou diretório acima do pai imediato não gera needs_review; recursos citados só em ExecStart ambíguo não são avaliados.</w:t>
      </w:r>
    </w:p>
    <w:p>
      <w:pPr>
        <w:pStyle w:val="ListBullet"/>
        <w:spacing w:after="36" w:line="240" w:lineRule="auto"/>
        <w:ind w:left="198" w:hanging="85"/>
      </w:pPr>
      <w:r>
        <w:rPr>
          <w:rFonts w:ascii="Aptos" w:hAnsi="Aptos"/>
          <w:b/>
          <w:i w:val="0"/>
          <w:sz w:val="17"/>
        </w:rPr>
        <w:t>Sem logs:</w:t>
      </w:r>
      <w:r>
        <w:rPr>
          <w:rFonts w:ascii="Aptos" w:hAnsi="Aptos"/>
          <w:b w:val="0"/>
          <w:i w:val="0"/>
          <w:sz w:val="17"/>
        </w:rPr>
      </w:r>
      <w:r>
        <w:rPr>
          <w:b w:val="0"/>
        </w:rPr>
        <w:t xml:space="preserve"> journald/syslog não são coletados e o journal.log produzido pelo generator não é analisado; portanto não há reconstrução temporal (“processo + serviço + log”) nem como saber se uma configuração insegura já foi explorada.</w:t>
      </w:r>
    </w:p>
    <w:p>
      <w:pPr>
        <w:spacing w:before="40" w:after="40"/>
      </w:pPr>
      <w:r>
        <w:rPr>
          <w:rFonts w:ascii="Aptos" w:hAnsi="Aptos"/>
          <w:b/>
          <w:color w:val="365F91"/>
          <w:sz w:val="21"/>
        </w:rPr>
        <w:t>Uso de IA generativa</w:t>
      </w:r>
    </w:p>
    <w:p>
      <w:pPr>
        <w:spacing w:after="80" w:line="252" w:lineRule="auto"/>
      </w:pPr>
      <w:r>
        <w:rPr/>
        <w:t>IA generativa (ChatGPT, Codex e Claude) foi usada como apoio à programação, à escrita de testes, à revisão de código e à documentação. O código sugerido foi revisado durante o desenvolvimento e só incorporado após passar pela suíte de testes. A ferramenta não depende de LLM em execução: coleta, normalização, análise de permissões e correlações são mecanismos determinísticos próprios, e os textos de interpretação e hipótese de cada finding são gerados por regras, não por um modelo. Isso atende à exigência de produzir evidências estruturadas antes de qualquer interpretação e evita que uma resposta probabilística seja a única camada de análise.</w:t>
      </w:r>
    </w:p>
    <w:p>
      <w:pPr>
        <w:spacing w:before="40" w:after="40"/>
      </w:pPr>
      <w:r>
        <w:rPr>
          <w:rFonts w:ascii="Aptos" w:hAnsi="Aptos"/>
          <w:b/>
          <w:color w:val="365F91"/>
          <w:sz w:val="21"/>
        </w:rPr>
        <w:t>Rastreabilidade dos requisitos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E2F3"/>
          <w:left w:val="single" w:sz="4" w:color="D9E2F3"/>
          <w:bottom w:val="single" w:sz="4" w:color="D9E2F3"/>
          <w:right w:val="single" w:sz="4" w:color="D9E2F3"/>
          <w:insideH w:val="single" w:sz="4" w:color="D9E2F3"/>
          <w:insideV w:val="single" w:sz="4" w:color="D9E2F3"/>
        </w:tblBorders>
      </w:tblPr>
      <w:tblGrid>
        <w:gridCol w:w="3401"/>
        <w:gridCol w:w="6349"/>
      </w:tblGrid>
      <w:tr>
        <w:tc>
          <w:tcPr>
            <w:tcW w:type="dxa" w:w="3401"/>
            <w:shd w:val="clear" w:color="auto" w:fill="D9E2F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r>
              <w:rPr>
                <w:rFonts w:ascii="Aptos" w:hAnsi="Aptos"/>
                <w:b/>
                <w:i w:val="0"/>
                <w:color w:val="17365D"/>
                <w:sz w:val="16"/>
              </w:rPr>
              <w:t>Requisito do enunciado</w:t>
            </w:r>
          </w:p>
        </w:tc>
        <w:tc>
          <w:tcPr>
            <w:tcW w:type="dxa" w:w="6349"/>
            <w:shd w:val="clear" w:color="auto" w:fill="D9E2F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r>
              <w:rPr>
                <w:rFonts w:ascii="Aptos" w:hAnsi="Aptos"/>
                <w:b/>
                <w:i w:val="0"/>
                <w:color w:val="17365D"/>
                <w:sz w:val="16"/>
              </w:rPr>
              <w:t>Evidência demonstrável</w:t>
            </w:r>
          </w:p>
        </w:tc>
      </w:tr>
      <w:tr>
        <w:tc>
          <w:tcPr>
            <w:tcW w:type="dxa" w:w="3401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r>
              <w:rPr>
                <w:rFonts w:ascii="Aptos" w:hAnsi="Aptos"/>
                <w:b/>
                <w:i w:val="0"/>
                <w:sz w:val="15"/>
              </w:rPr>
              <w:t>Funcionamento da solução</w:t>
            </w:r>
          </w:p>
        </w:tc>
        <w:tc>
          <w:tcPr>
            <w:tcW w:type="dxa" w:w="6349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r>
              <w:rPr>
                <w:sz w:val="19"/>
              </w:rPr>
              <w:t>CLI scan/analyze/analyze-dataset, snapshots, texto/JSON, coleta parcial e 174 testes.</w:t>
            </w:r>
          </w:p>
        </w:tc>
      </w:tr>
      <w:tr>
        <w:tc>
          <w:tcPr>
            <w:tcW w:type="dxa" w:w="3401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r>
              <w:rPr>
                <w:rFonts w:ascii="Aptos" w:hAnsi="Aptos"/>
                <w:b/>
                <w:i w:val="0"/>
                <w:sz w:val="15"/>
              </w:rPr>
              <w:t>Processos, permissões e serviços</w:t>
            </w:r>
          </w:p>
        </w:tc>
        <w:tc>
          <w:tcPr>
            <w:tcW w:type="dxa" w:w="6349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r>
              <w:rPr>
                <w:rFonts w:ascii="Aptos" w:hAnsi="Aptos"/>
                <w:b w:val="0"/>
                <w:i w:val="0"/>
                <w:sz w:val="15"/>
              </w:rPr>
              <w:t>Coletores dedicados e modelos explícitos para as três dimensões obrigatórias.</w:t>
            </w:r>
          </w:p>
        </w:tc>
      </w:tr>
      <w:tr>
        <w:tc>
          <w:tcPr>
            <w:tcW w:type="dxa" w:w="3401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r>
              <w:rPr>
                <w:rFonts w:ascii="Aptos" w:hAnsi="Aptos"/>
                <w:b/>
                <w:i w:val="0"/>
                <w:sz w:val="15"/>
              </w:rPr>
              <w:t>Correlação entre evidências</w:t>
            </w:r>
          </w:p>
        </w:tc>
        <w:tc>
          <w:tcPr>
            <w:tcW w:type="dxa" w:w="6349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r>
              <w:rPr>
                <w:rFonts w:ascii="Aptos" w:hAnsi="Aptos"/>
                <w:b w:val="0"/>
                <w:i w:val="0"/>
                <w:sz w:val="15"/>
              </w:rPr>
              <w:t>C1, C2 e C3; C2 inclui MainPID direto e ancestralidade PPID.</w:t>
            </w:r>
          </w:p>
        </w:tc>
      </w:tr>
      <w:tr>
        <w:tc>
          <w:tcPr>
            <w:tcW w:type="dxa" w:w="3401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r>
              <w:rPr>
                <w:rFonts w:ascii="Aptos" w:hAnsi="Aptos"/>
                <w:b/>
                <w:i w:val="0"/>
                <w:sz w:val="15"/>
              </w:rPr>
              <w:t>Evidência × interpretação × hipótese</w:t>
            </w:r>
          </w:p>
        </w:tc>
        <w:tc>
          <w:tcPr>
            <w:tcW w:type="dxa" w:w="6349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r>
              <w:rPr>
                <w:rFonts w:ascii="Aptos" w:hAnsi="Aptos"/>
                <w:b w:val="0"/>
                <w:i w:val="0"/>
                <w:sz w:val="15"/>
              </w:rPr>
              <w:t>Finding separa evidência, interpretação, hipótese e evidência ausente; suporta inconclusive.</w:t>
            </w:r>
          </w:p>
        </w:tc>
      </w:tr>
      <w:tr>
        <w:tc>
          <w:tcPr>
            <w:tcW w:type="dxa" w:w="3401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r>
              <w:rPr>
                <w:rFonts w:ascii="Aptos" w:hAnsi="Aptos"/>
                <w:b/>
                <w:i w:val="0"/>
                <w:sz w:val="15"/>
              </w:rPr>
              <w:t>Arquitetura, código e documentação</w:t>
            </w:r>
          </w:p>
        </w:tc>
        <w:tc>
          <w:tcPr>
            <w:tcW w:type="dxa" w:w="6349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r>
              <w:rPr>
                <w:rFonts w:ascii="Aptos" w:hAnsi="Aptos"/>
                <w:b w:val="0"/>
                <w:i w:val="0"/>
                <w:sz w:val="15"/>
              </w:rPr>
              <w:t>Módulos pequenos, uma dependência de runtime, README, arquitetura, demo e relatório.</w:t>
            </w:r>
          </w:p>
        </w:tc>
      </w:tr>
      <w:tr>
        <w:tc>
          <w:tcPr>
            <w:tcW w:type="dxa" w:w="3401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r>
              <w:rPr>
                <w:rFonts w:ascii="Aptos" w:hAnsi="Aptos"/>
                <w:b/>
                <w:i w:val="0"/>
                <w:sz w:val="15"/>
              </w:rPr>
              <w:t>Demonstração</w:t>
            </w:r>
          </w:p>
        </w:tc>
        <w:tc>
          <w:tcPr>
            <w:tcW w:type="dxa" w:w="6349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r>
              <w:rPr>
                <w:sz w:val="19"/>
              </w:rPr>
              <w:t>Quatro fixtures reproduzíveis + generator da disciplina + scan real na Kali.</w:t>
            </w:r>
          </w:p>
        </w:tc>
      </w:tr>
    </w:tbl>
    <w:p>
      <w:pPr>
        <w:spacing w:before="40" w:after="40"/>
      </w:pPr>
      <w:r>
        <w:rPr>
          <w:rFonts w:ascii="Aptos" w:hAnsi="Aptos"/>
          <w:b/>
          <w:color w:val="365F91"/>
          <w:sz w:val="21"/>
        </w:rPr>
        <w:t>Conclusão</w:t>
      </w:r>
    </w:p>
    <w:p>
      <w:pPr>
        <w:spacing w:after="80" w:line="252" w:lineRule="auto"/>
      </w:pPr>
      <w:r>
        <w:rPr>
          <w:rFonts w:ascii="Aptos" w:hAnsi="Aptos"/>
          <w:b w:val="0"/>
          <w:i w:val="0"/>
          <w:sz w:val="18"/>
        </w:rPr>
        <w:t>O Endpoint Investigator cumpre o objetivo de observar, coletar, relacionar evidências e formular hipóteses justificáveis em GNU/Linux sem se comportar como antivírus ou EDR completo. A solução privilegia correlações explicáveis e resultados conservadores: relações fortes geram needs_review, contexto legítimo permanece informational e dados insuficientes resultam em inconclusive. O escopo final cobre os requisitos obrigatórios com uma arquitetura pequena, reproduzível e defensável em demonstração.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E2F3"/>
          <w:left w:val="single" w:sz="4" w:color="D9E2F3"/>
          <w:bottom w:val="single" w:sz="4" w:color="D9E2F3"/>
          <w:right w:val="single" w:sz="4" w:color="D9E2F3"/>
          <w:insideH w:val="single" w:sz="4" w:color="D9E2F3"/>
          <w:insideV w:val="single" w:sz="4" w:color="D9E2F3"/>
        </w:tblBorders>
      </w:tblPr>
      <w:tblGrid>
        <w:gridCol w:w="10148"/>
      </w:tblGrid>
      <w:tr>
        <w:tc>
          <w:tcPr>
            <w:tcW w:type="dxa" w:w="10148"/>
            <w:shd w:val="clear" w:color="auto" w:fill="F4F7FB"/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r>
              <w:rPr>
                <w:rFonts w:ascii="Aptos" w:hAnsi="Aptos"/>
                <w:b/>
                <w:color w:val="17365D"/>
                <w:sz w:val="17"/>
              </w:rPr>
              <w:t>Comandos essenciais</w:t>
            </w:r>
          </w:p>
          <w:p>
            <w:r>
              <w:rPr>
                <w:rFonts w:ascii="Liberation Mono" w:hAnsi="Liberation Mono"/>
                <w:b w:val="0"/>
                <w:sz w:val="15"/>
              </w:rPr>
              <w:t>.venv/bin/python -m endpoint_investigator scan</w:t>
            </w:r>
          </w:p>
          <w:p>
            <w:r>
              <w:rPr>
                <w:rFonts w:ascii="Liberation Mono" w:hAnsi="Liberation Mono"/>
                <w:b w:val="0"/>
                <w:sz w:val="15"/>
              </w:rPr>
              <w:t>.venv/bin/python -m endpoint_investigator analyze tests/fixtures/scenario_unsafe_service.json</w:t>
            </w:r>
          </w:p>
          <w:p>
            <w:r>
              <w:rPr>
                <w:rFonts w:ascii="Liberation Mono" w:hAnsi="Liberation Mono"/>
                <w:b w:val="0"/>
                <w:sz w:val="15"/>
              </w:rPr>
              <w:t>.venv/bin/python tools/generate_dataset.py --level intermediate --seed 5 --output training-generated/professor-correlation</w:t>
            </w:r>
          </w:p>
          <w:p>
            <w:r>
              <w:rPr>
                <w:rFonts w:ascii="Liberation Mono" w:hAnsi="Liberation Mono"/>
                <w:b w:val="0"/>
                <w:sz w:val="15"/>
              </w:rPr>
              <w:t>.venv/bin/python -m endpoint_investigator analyze-dataset training-generated/professor-correlation</w:t>
            </w:r>
          </w:p>
          <w:p>
            <w:r>
              <w:rPr>
                <w:rFonts w:ascii="Liberation Mono" w:hAnsi="Liberation Mono"/>
                <w:b w:val="0"/>
                <w:sz w:val="15"/>
              </w:rPr>
              <w:t>.venv/bin/python -m pytest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765" w:right="879" w:bottom="709" w:left="879" w:header="312" w:footer="312" w:gutter="0"/>
      <w:cols w:space="720"/>
      <w:docGrid w:linePitch="360"/>
    </w:sectPr>
  </w:body>
</w:document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7F7F7F"/>
        <w:sz w:val="15"/>
      </w:rPr>
      <w:t xml:space="preserve">Endpoint Investigator  |  Página </w:t>
    </w:r>
    <w:r>
      <w:rPr>
        <w:rFonts w:ascii="Aptos" w:hAnsi="Aptos"/>
        <w:color w:val="7F7F7F"/>
        <w:sz w:val="15"/>
      </w:rPr>
      <w:fldChar w:fldCharType="begin"/>
      <w:instrText xml:space="preserve">PAGE</w:instrText>
      <w:fldChar w:fldCharType="end"/>
    </w:r>
    <w:r>
      <w:rPr>
        <w:rFonts w:ascii="Aptos" w:hAnsi="Aptos"/>
        <w:color w:val="7F7F7F"/>
        <w:sz w:val="15"/>
      </w:rPr>
      <w:t xml:space="preserve"> de </w:t>
    </w:r>
    <w:r>
      <w:rPr>
        <w:rFonts w:ascii="Aptos" w:hAnsi="Aptos"/>
        <w:color w:val="7F7F7F"/>
        <w:sz w:val="15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b/>
        <w:color w:val="7F7F7F"/>
        <w:sz w:val="15"/>
      </w:rPr>
      <w:t>Tecnologias Hackers  |  Avaliação Intermediária</w:t>
    </w:r>
  </w:p>
</w:hdr>
</file>

<file path=word/numbering.xml><?xml version="1.0" encoding="utf-8"?>
<w:numbering xmlns:w="http://schemas.openxmlformats.org/wordprocessingml/2006/main">
  <w:abstractNum w:abstractNumId="8">
    <w:multiLevelType w:val="singleLevel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</w:rPr>
    </w:lvl>
  </w:abstractNum>
  <w:num w:numId="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w="http://schemas.openxmlformats.org/wordprocessingml/2006/main">
  <w:docDefaults>
    <w:rPrDefault>
      <w:rPr>
        <w:rFonts w:ascii="Aptos" w:hAnsi="Aptos"/>
        <w:sz w:val="18"/>
      </w:rPr>
    </w:rPrDefault>
    <w:pPrDefault/>
  </w:docDefaults>
  <w:style w:type="paragraph" w:default="1" w:styleId="Normal">
    <w:name w:val="Normal"/>
    <w:qFormat/>
    <w:rPr>
      <w:rFonts w:ascii="Aptos" w:hAnsi="Aptos"/>
      <w:sz w:val="18"/>
    </w:rPr>
  </w:style>
  <w:style w:type="character" w:default="1" w:styleId="DefaultParagraphFont">
    <w:name w:val="Default Paragraph Font"/>
  </w:style>
  <w:style w:type="paragraph" w:styleId="ListBullet">
    <w:name w:val="List Bullet"/>
    <w:basedOn w:val="Normal"/>
    <w:pPr>
      <w:numPr>
        <w:numId w:val="1"/>
      </w:numPr>
      <w:contextualSpacing/>
    </w:pPr>
    <w:rPr>
      <w:rFonts w:ascii="Aptos" w:hAnsi="Aptos"/>
      <w:sz w:val="18"/>
    </w:rPr>
  </w:style>
  <w:style w:type="paragraph" w:styleId="Header">
    <w:name w:val="header"/>
    <w:basedOn w:val="Normal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pPr>
      <w:tabs>
        <w:tab w:val="center" w:pos="4680"/>
        <w:tab w:val="right" w:pos="9360"/>
      </w:tabs>
      <w:spacing w:after="0" w:line="240" w:lineRule="auto"/>
    </w:pPr>
  </w:style>
  <w:style w:type="table" w:default="1" w:styleId="TableNormal">
    <w:name w:val="Normal Table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Endpoint Investigator — Relatório Técnico Final</dc:title>
  <dc:subject>Avaliação Intermediária de Tecnologias Hackers</dc:subject>
  <dc:creator>python-docx</dc:creator>
  <cp:keywords>GNU/Linux, endpoint, processos, permissões, serviços, correlação, segurança</cp:keywords>
  <dc:description>Documento técnico final gerado a partir da implementação e documentação versionadas do projeto.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