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color w:val="17365D"/>
          <w:sz w:val="40"/>
        </w:rPr>
        <w:t>ENDPOINT INVESTIGATOR</w:t>
      </w:r>
    </w:p>
    <w:p>
      <w:pPr>
        <w:spacing w:after="140"/>
        <w:jc w:val="center"/>
      </w:pPr>
      <w:r>
        <w:rPr>
          <w:rFonts w:ascii="Aptos" w:hAnsi="Aptos"/>
          <w:b/>
          <w:color w:val="595959"/>
          <w:sz w:val="21"/>
        </w:rPr>
        <w:t>Relatório técnico final — investigação de segurança em GNU/Linux</w:t>
      </w:r>
    </w:p>
    <w:p>
      <w:pPr>
        <w:spacing w:after="160"/>
        <w:jc w:val="center"/>
      </w:pPr>
      <w:r>
        <w:rPr>
          <w:rFonts w:ascii="Aptos" w:hAnsi="Aptos"/>
          <w:color w:val="7F7F7F"/>
          <w:sz w:val="17"/>
        </w:rPr>
        <w:t>Avaliação Intermediária • Prof. Rodolfo Avelino • Setembro de 2026</w:t>
      </w:r>
    </w:p>
    <w:p>
      <w:pPr>
        <w:spacing w:after="120"/>
        <w:jc w:val="center"/>
      </w:pPr>
      <w:r>
        <w:rPr/>
        <w:t>Integrantes: Nicholas Nakano Thuesen e Alison Araujo</w:t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1. Problema e estratégia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9"/>
        </w:rPr>
        <w:t>O Endpoint Investigator é uma ferramenta local, read-only e executada sob demanda para apoiar a investigação de segurança de endpoints GNU/Linux. O projeto parte do princípio de que sinais isolados — como um processo com nome incomum, um serviço executado como root ou uma porta em escuta — não caracterizam, por si só, um incidente. A ferramenta coleta fatos, relaciona entidades e produz hipóteses rastreáveis, deixando explícito o que ainda não pode ser concluído.</w:t>
      </w:r>
    </w:p>
    <w:p>
      <w:pPr>
        <w:spacing w:after="100" w:line="252" w:lineRule="auto"/>
      </w:pPr>
      <w:r>
        <w:rPr>
          <w:rFonts w:ascii="Aptos" w:hAnsi="Aptos"/>
          <w:b/>
          <w:i w:val="0"/>
          <w:sz w:val="19"/>
        </w:rPr>
        <w:t xml:space="preserve">Classes de resultado. </w:t>
      </w:r>
      <w:r>
        <w:rPr>
          <w:rFonts w:ascii="Aptos" w:hAnsi="Aptos"/>
          <w:b w:val="0"/>
          <w:i w:val="0"/>
          <w:sz w:val="19"/>
        </w:rPr>
        <w:t xml:space="preserve">Cada finding recebe uma de três classes: </w:t>
      </w:r>
      <w:r>
        <w:rPr>
          <w:rFonts w:ascii="Aptos" w:hAnsi="Aptos"/>
          <w:b/>
          <w:i w:val="0"/>
          <w:sz w:val="19"/>
        </w:rPr>
        <w:t xml:space="preserve">needs_review</w:t>
      </w:r>
      <w:r>
        <w:rPr>
          <w:rFonts w:ascii="Aptos" w:hAnsi="Aptos"/>
          <w:b w:val="0"/>
          <w:i w:val="0"/>
          <w:sz w:val="19"/>
        </w:rPr>
        <w:t xml:space="preserve"> (combinação de sinais que justifica investigação humana), </w:t>
      </w:r>
      <w:r>
        <w:rPr>
          <w:rFonts w:ascii="Aptos" w:hAnsi="Aptos"/>
          <w:b/>
          <w:i w:val="0"/>
          <w:sz w:val="19"/>
        </w:rPr>
        <w:t xml:space="preserve">informational</w:t>
      </w:r>
      <w:r>
        <w:rPr>
          <w:rFonts w:ascii="Aptos" w:hAnsi="Aptos"/>
          <w:b w:val="0"/>
          <w:i w:val="0"/>
          <w:sz w:val="19"/>
        </w:rPr>
        <w:t xml:space="preserve"> (relação observada e registrada como contexto, sem indicar problema) e </w:t>
      </w:r>
      <w:r>
        <w:rPr>
          <w:rFonts w:ascii="Aptos" w:hAnsi="Aptos"/>
          <w:b/>
          <w:i w:val="0"/>
          <w:sz w:val="19"/>
        </w:rPr>
        <w:t xml:space="preserve">inconclusive</w:t>
      </w:r>
      <w:r>
        <w:rPr>
          <w:rFonts w:ascii="Aptos" w:hAnsi="Aptos"/>
          <w:b w:val="0"/>
          <w:i w:val="0"/>
          <w:sz w:val="19"/>
        </w:rPr>
        <w:t xml:space="preserve"> (dados insuficientes; as lacunas são listadas). Não existe classe “vulnerável” ou “malicioso”: a ferramenta nunca conclui exploração ou comprometimento.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4932"/>
        <w:gridCol w:w="4932"/>
      </w:tblGrid>
      <w:tr>
        <w:tc>
          <w:tcPr>
            <w:tcW w:type="dxa" w:w="4932"/>
            <w:tcMar>
              <w:top w:w="95" w:type="dxa"/>
              <w:start w:w="120" w:type="dxa"/>
              <w:bottom w:w="95" w:type="dxa"/>
              <w:end w:w="120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Escopo obrigatório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Processos e identidade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Serviços systemd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Permissões contextuais</w:t>
            </w:r>
          </w:p>
        </w:tc>
        <w:tc>
          <w:tcPr>
            <w:tcW w:type="dxa" w:w="4932"/>
            <w:tcMar>
              <w:top w:w="95" w:type="dxa"/>
              <w:start w:w="120" w:type="dxa"/>
              <w:bottom w:w="95" w:type="dxa"/>
              <w:end w:w="120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Princípios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Evidência antes de interpretação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Resultados inconclusivos quando necessário</w:t>
            </w:r>
          </w:p>
          <w:p>
            <w:pPr>
              <w:pStyle w:val="ListBullet"/>
              <w:spacing w:after="0"/>
              <w:ind w:left="170"/>
            </w:pPr>
            <w:r>
              <w:rPr>
                <w:rFonts w:ascii="Aptos" w:hAnsi="Aptos"/>
                <w:b w:val="0"/>
                <w:i w:val="0"/>
                <w:sz w:val="17"/>
              </w:rPr>
              <w:t>Sem score de risco artificial</w:t>
            </w:r>
          </w:p>
        </w:tc>
      </w:tr>
    </w:tbl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2. Arquitetura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6E7"/>
          <w:left w:val="single" w:sz="5" w:color="B4C6E7"/>
          <w:bottom w:val="single" w:sz="5" w:color="B4C6E7"/>
          <w:right w:val="single" w:sz="5" w:color="B4C6E7"/>
          <w:insideH w:val="single" w:sz="5" w:color="B4C6E7"/>
          <w:insideV w:val="single" w:sz="5" w:color="B4C6E7"/>
        </w:tblBorders>
      </w:tblPr>
      <w:tblGrid>
        <w:gridCol w:w="1485"/>
        <w:gridCol w:w="1485"/>
        <w:gridCol w:w="1485"/>
        <w:gridCol w:w="1485"/>
        <w:gridCol w:w="1485"/>
        <w:gridCol w:w="1729"/>
      </w:tblGrid>
      <w:tr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Coleta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Normalização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Permissões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Correlação</w:t>
            </w:r>
          </w:p>
        </w:tc>
        <w:tc>
          <w:tcPr>
            <w:tcW w:type="dxa" w:w="1485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EAF1F8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Findings</w:t>
            </w:r>
          </w:p>
        </w:tc>
        <w:tc>
          <w:tcPr>
            <w:tcW w:type="dxa" w:w="1729"/>
            <w:tcMar>
              <w:top w:w="65" w:type="dxa"/>
              <w:start w:w="55" w:type="dxa"/>
              <w:bottom w:w="65" w:type="dxa"/>
              <w:end w:w="55" w:type="dxa"/>
            </w:tcMar>
            <w:vAlign w:val="center"/>
            <w:shd w:val="clear" w:color="auto" w:fill="F5F8FC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65D"/>
                <w:sz w:val="17"/>
              </w:rPr>
              <w:t>Texto / JSON</w:t>
            </w:r>
          </w:p>
        </w:tc>
      </w:tr>
    </w:tbl>
    <w:p>
      <w:pPr>
        <w:spacing w:after="60" w:line="252" w:lineRule="auto"/>
      </w:pPr>
      <w:r>
        <w:rPr>
          <w:rFonts w:ascii="Aptos" w:hAnsi="Aptos"/>
          <w:b w:val="0"/>
          <w:i w:val="0"/>
          <w:sz w:val="18"/>
        </w:rPr>
        <w:t>O mesmo núcleo de correlação é reutilizado em dois caminhos: (a) scan ao vivo na Kali, com coleta do host; e (b) análise offline de snapshots JSON, usada para testes determinísticos e demonstrações reproduzíveis. Coletores observam; modelos normalizam; a correlação relaciona entidades; e a camada de apresentação apenas transforma o resultado em texto ou JSON.</w:t>
      </w:r>
    </w:p>
    <w:p>
      <w:pPr>
        <w:spacing w:after="80" w:line="252" w:lineRule="auto"/>
      </w:pPr>
      <w:r>
        <w:rPr>
          <w:rFonts w:ascii="Aptos" w:hAnsi="Aptos"/>
          <w:b/>
          <w:i w:val="0"/>
          <w:sz w:val="19"/>
        </w:rPr>
        <w:t xml:space="preserve">Relação com o fluxo de referência do enunciado: </w:t>
      </w:r>
      <w:r>
        <w:rPr>
          <w:rFonts w:ascii="Aptos" w:hAnsi="Aptos"/>
          <w:b w:val="0"/>
          <w:i w:val="0"/>
          <w:sz w:val="19"/>
        </w:rPr>
        <w:t xml:space="preserve">Coleta → Normalização → Correlação correspondem às etapas homônimas; a etapa Permissões é uma análise contextual executada apenas sobre recursos que a correlação precisa avaliar; Evidências e Hipóteses ficam dentro de cada Finding (seção 3); Texto/JSON é o Resultado da investigação.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Fontes de informação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2267"/>
        <w:gridCol w:w="2834"/>
        <w:gridCol w:w="4875"/>
      </w:tblGrid>
      <w:tr>
        <w:tc>
          <w:tcPr>
            <w:tcW w:type="dxa" w:w="2267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Dimensão</w:t>
            </w:r>
          </w:p>
        </w:tc>
        <w:tc>
          <w:tcPr>
            <w:tcW w:type="dxa" w:w="2834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Fonte</w:t>
            </w:r>
          </w:p>
        </w:tc>
        <w:tc>
          <w:tcPr>
            <w:tcW w:type="dxa" w:w="4875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Dados usados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Processos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psutil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PID, PPID, UID/GID, usuário, comando, executável, estado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Serviços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systemctl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unit, estado, MainPID, User/Group, FragmentPath, ExecStart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Rede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psutil.net_connections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TCP LISTEN e UDP vinculado, endereço/porta e PID quando disponível</w:t>
            </w:r>
          </w:p>
        </w:tc>
      </w:tr>
      <w:tr>
        <w:tc>
          <w:tcPr>
            <w:tcW w:type="dxa" w:w="2267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Permissões</w:t>
            </w:r>
          </w:p>
        </w:tc>
        <w:tc>
          <w:tcPr>
            <w:tcW w:type="dxa" w:w="2834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os.stat + pwd/grp</w:t>
            </w:r>
          </w:p>
        </w:tc>
        <w:tc>
          <w:tcPr>
            <w:tcW w:type="dxa" w:w="4875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owner/grupo, modo POSIX e diretório pai imediato</w:t>
            </w:r>
          </w:p>
        </w:tc>
      </w:tr>
    </w:tbl>
    <w:p>
      <w:pPr>
        <w:spacing w:after="0" w:line="252" w:lineRule="auto"/>
      </w:pPr>
      <w:r>
        <w:rPr>
          <w:rFonts w:ascii="Aptos" w:hAnsi="Aptos"/>
          <w:b/>
          <w:i w:val="0"/>
          <w:sz w:val="19"/>
        </w:rPr>
        <w:t xml:space="preserve">Por que rede? </w:t>
      </w:r>
      <w:r>
        <w:rPr>
          <w:rFonts w:ascii="Aptos" w:hAnsi="Aptos"/>
          <w:b w:val="0"/>
          <w:i w:val="0"/>
          <w:sz w:val="19"/>
        </w:rPr>
        <w:t xml:space="preserve">Além das três dimensões obrigatórias, conexões de rede foram incorporadas porque o enunciado cita como exemplo de correlação “um processo que gerencia uma porta de comunicação”. Essa fonte alimenta exclusivamente C2 e não gera findings por si só.</w:t>
      </w:r>
    </w:p>
    <w:p>
      <w:r>
        <w:rPr/>
        <w:br w:type="page"/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3. Correlações e modelo de resultado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9"/>
        </w:rPr>
        <w:t>A análise é determinística e opera somente sobre o snapshot. O núcleo implementa três correlações, cada uma com guardrails para impedir que sinais isolados sejam convertidos em conclusões fortes.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1247"/>
        <w:gridCol w:w="3855"/>
        <w:gridCol w:w="1757"/>
        <w:gridCol w:w="3118"/>
      </w:tblGrid>
      <w:tr>
        <w:trPr>
          <w:tblHeader w:val="true"/>
        </w:trPr>
        <w:tc>
          <w:tcPr>
            <w:tcW w:type="dxa" w:w="1247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Correlação</w:t>
            </w:r>
          </w:p>
        </w:tc>
        <w:tc>
          <w:tcPr>
            <w:tcW w:type="dxa" w:w="3855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Relação observada</w:t>
            </w:r>
          </w:p>
        </w:tc>
        <w:tc>
          <w:tcPr>
            <w:tcW w:type="dxa" w:w="1757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Resultado</w:t>
            </w:r>
          </w:p>
        </w:tc>
        <w:tc>
          <w:tcPr>
            <w:tcW w:type="dxa" w:w="3118"/>
            <w:shd w:val="clear" w:color="auto" w:fill="D9E2F3"/>
            <w:tcMar>
              <w:top w:w="60" w:type="dxa"/>
              <w:start w:w="65" w:type="dxa"/>
              <w:bottom w:w="6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Guardrail principal</w:t>
            </w:r>
          </w:p>
        </w:tc>
      </w:tr>
      <w:tr>
        <w:tc>
          <w:tcPr>
            <w:tcW w:type="dxa" w:w="124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C1</w:t>
            </w:r>
          </w:p>
        </w:tc>
        <w:tc>
          <w:tcPr>
            <w:tcW w:type="dxa" w:w="3855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Serviço ativo → MainPID → UID efetivo → recurso → permissões</w:t>
            </w:r>
          </w:p>
        </w:tc>
        <w:tc>
          <w:tcPr>
            <w:tcW w:type="dxa" w:w="175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needs_review ou inconclusive</w:t>
            </w:r>
          </w:p>
        </w:tc>
        <w:tc>
          <w:tcPr>
            <w:tcW w:type="dxa" w:w="3118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Root sozinho nunca gera finding. needs_review exige UID 0 observado + sinal POSIX de modificação por não-root.</w:t>
            </w:r>
          </w:p>
        </w:tc>
      </w:tr>
      <w:tr>
        <w:tc>
          <w:tcPr>
            <w:tcW w:type="dxa" w:w="124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C2</w:t>
            </w:r>
          </w:p>
        </w:tc>
        <w:tc>
          <w:tcPr>
            <w:tcW w:type="dxa" w:w="3855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Socket → PID → processo → serviço → identidade</w:t>
            </w:r>
          </w:p>
        </w:tc>
        <w:tc>
          <w:tcPr>
            <w:tcW w:type="dxa" w:w="175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informational ou inconclusive</w:t>
            </w:r>
          </w:p>
        </w:tc>
        <w:tc>
          <w:tcPr>
            <w:tcW w:type="dxa" w:w="3118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Porta aberta não é vulnerabilidade. Associação pode ser direta por MainPID ou contextual por ancestralidade PPID.</w:t>
            </w:r>
          </w:p>
        </w:tc>
      </w:tr>
      <w:tr>
        <w:tc>
          <w:tcPr>
            <w:tcW w:type="dxa" w:w="124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C3</w:t>
            </w:r>
          </w:p>
        </w:tc>
        <w:tc>
          <w:tcPr>
            <w:tcW w:type="dxa" w:w="3855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Processo relevante → PPID → processo pai → identidades</w:t>
            </w:r>
          </w:p>
        </w:tc>
        <w:tc>
          <w:tcPr>
            <w:tcW w:type="dxa" w:w="1757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informational ou inconclusive</w:t>
            </w:r>
          </w:p>
        </w:tc>
        <w:tc>
          <w:tcPr>
            <w:tcW w:type="dxa" w:w="3118"/>
            <w:tcMar>
              <w:top w:w="70" w:type="dxa"/>
              <w:start w:w="65" w:type="dxa"/>
              <w:bottom w:w="70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Diferença de UID, PPID ou nome não prova escalada ou comprometimento.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C2: robustez por ancestralidade PPID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8"/>
        </w:rPr>
        <w:t>Além da associação direta (socket.pid == service.main_pid), a versão final reconhece processos filhos e netos quando a cadeia PPID observada alcança o MainPID. O finding registra a proveniência como direct_main_pid ou descendant_of_main_pid e, no segundo caso, inclui a cadeia de PIDs usada como evidência. A travessia encerra com segurança em PPID ausente, pai não observado, self-parent ou ciclo. Essa ancestralidade é contexto investigativo, não prova autoritativa de membership systemd.</w:t>
      </w:r>
    </w:p>
    <w:p>
      <w:pPr>
        <w:spacing w:after="80" w:line="252" w:lineRule="auto"/>
      </w:pPr>
      <w:r>
        <w:rPr>
          <w:rFonts w:ascii="Aptos" w:hAnsi="Aptos"/>
          <w:b/>
          <w:i w:val="0"/>
          <w:sz w:val="19"/>
        </w:rPr>
        <w:t xml:space="preserve">Relação com as correlações sugeridas no enunciado: </w:t>
      </w:r>
      <w:r>
        <w:rPr>
          <w:rFonts w:ascii="Aptos" w:hAnsi="Aptos"/>
          <w:b w:val="0"/>
          <w:i w:val="0"/>
          <w:sz w:val="19"/>
        </w:rPr>
        <w:t xml:space="preserve">C1 implementa “processo + serviço + permissão” e “serviço + arquivo + usuário”; C3 implementa “processo + PPID + usuário”; C2 é uma correlação própria (socket + processo + serviço). A correlação com logs (“processo + serviço + log”) não foi implementada — ver limitações.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Estrutura uniforme de Finding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4988"/>
        <w:gridCol w:w="4988"/>
      </w:tblGrid>
      <w:tr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Evidência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Fatos efetivamente observados: PID, UID, unit, caminho, modo, socket, cadeia PPID.</w:t>
            </w:r>
          </w:p>
        </w:tc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Interpretação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Significado técnico sustentado pelos fatos, sem extrapolar além do observado.</w:t>
            </w:r>
          </w:p>
        </w:tc>
      </w:tr>
      <w:tr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Hipótese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Explicação possível para a relação encontrada; não é apresentada como fato.</w:t>
            </w:r>
          </w:p>
        </w:tc>
        <w:tc>
          <w:tcPr>
            <w:tcW w:type="dxa" w:w="4988"/>
            <w:tcMar>
              <w:top w:w="100" w:type="dxa"/>
              <w:start w:w="115" w:type="dxa"/>
              <w:bottom w:w="100" w:type="dxa"/>
              <w:end w:w="115" w:type="dxa"/>
            </w:tcMar>
            <w:shd w:val="clear" w:color="auto" w:fill="F4F7FB"/>
          </w:tcPr>
          <w:p>
            <w:r>
              <w:rPr>
                <w:rFonts w:ascii="Aptos" w:hAnsi="Aptos"/>
                <w:b/>
                <w:i w:val="0"/>
                <w:color w:val="17365D"/>
                <w:sz w:val="18"/>
              </w:rPr>
              <w:t>Evidência ausente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sz w:val="17"/>
              </w:rPr>
              <w:t>Dados necessários para confirmar ou rejeitar a hipótese, incluindo limitações de coleta.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Decisões técnicas relevantes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Permissões são analisadas apenas em recursos relacionados a processos/serviços e no pai imediato; não há varredura global do filesystem.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ExecStart ambíguo não é executado nem “adivinhado”; a lacuna é registrada como issue.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Falhas parciais (AccessDenied, processo encerrado, systemd indisponível, stat falhando) não abortam o snapshot.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Não há banco, daemon, dashboard ou LLM no núcleo; a única dependência de runtime é psutil.</w:t>
      </w:r>
    </w:p>
    <w:p>
      <w:pPr>
        <w:pStyle w:val="ListBullet"/>
        <w:spacing w:after="36" w:line="240" w:lineRule="auto"/>
        <w:ind w:left="198" w:hanging="85"/>
      </w:pPr>
      <w:r>
        <w:rPr/>
        <w:t>Scripts absolutos em ExecStart simples são analisados junto ao interpretador; formas ambíguas geram issue.</w:t>
      </w:r>
    </w:p>
    <w:p>
      <w:pPr>
        <w:pStyle w:val="ListBullet"/>
        <w:spacing w:after="36" w:line="240" w:lineRule="auto"/>
        <w:ind w:left="198" w:hanging="85"/>
      </w:pPr>
      <w:r>
        <w:rPr/>
        <w:t>C1 considera escrita direta e substituição pelo diretório pai imediato; group-writable isolado permanece inconclusivo.</w:t>
      </w:r>
    </w:p>
    <w:p>
      <w:pPr>
        <w:pStyle w:val="ListBullet"/>
        <w:spacing w:after="36" w:line="240" w:lineRule="auto"/>
        <w:ind w:left="198" w:hanging="85"/>
      </w:pPr>
      <w:r>
        <w:rPr/>
        <w:t>C3 considera relevantes MainPIDs de serviços observados e processos associados a listeners, evitando gerar contexto para toda a árvore.</w:t>
      </w:r>
    </w:p>
    <w:p>
      <w:r>
        <w:rPr/>
        <w:br w:type="page"/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4. Validação e resultados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9"/>
        </w:rPr>
        <w:t>A solução foi validada em testes unitários, testes de correlação, cenários end-to-end e execução real na Kali. A validação final, em 22/09/2026, executou a suíte completa com Python 3.13.12 e pytest 9.1.1: 139 testes coletados e 139 aprovados.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4C6E7"/>
          <w:left w:val="single" w:sz="4" w:color="B4C6E7"/>
          <w:bottom w:val="single" w:sz="4" w:color="B4C6E7"/>
          <w:right w:val="single" w:sz="4" w:color="B4C6E7"/>
          <w:insideH w:val="single" w:sz="4" w:color="B4C6E7"/>
          <w:insideV w:val="single" w:sz="4" w:color="B4C6E7"/>
        </w:tblBorders>
      </w:tblPr>
      <w:tblGrid>
        <w:gridCol w:w="3231"/>
        <w:gridCol w:w="3231"/>
        <w:gridCol w:w="3231"/>
      </w:tblGrid>
      <w:tr>
        <w:tc>
          <w:tcPr>
            <w:tcW w:type="dxa" w:w="3231"/>
            <w:tcMar>
              <w:top w:w="90" w:type="dxa"/>
              <w:start w:w="70" w:type="dxa"/>
              <w:bottom w:w="90" w:type="dxa"/>
              <w:end w:w="70" w:type="dxa"/>
            </w:tcMar>
            <w:shd w:val="clear" w:color="auto" w:fill="EAF1F8"/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17365D"/>
                <w:sz w:val="26"/>
              </w:rPr>
              <w:t>139 / 139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95959"/>
                <w:sz w:val="16"/>
              </w:rPr>
              <w:t>testes aprovados</w:t>
            </w:r>
          </w:p>
        </w:tc>
        <w:tc>
          <w:tcPr>
            <w:tcW w:type="dxa" w:w="3231"/>
            <w:tcMar>
              <w:top w:w="90" w:type="dxa"/>
              <w:start w:w="70" w:type="dxa"/>
              <w:bottom w:w="90" w:type="dxa"/>
              <w:end w:w="70" w:type="dxa"/>
            </w:tcMar>
            <w:shd w:val="clear" w:color="auto" w:fill="EAF1F8"/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17365D"/>
                <w:sz w:val="26"/>
              </w:rPr>
              <w:t>0,72 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95959"/>
                <w:sz w:val="16"/>
              </w:rPr>
              <w:t>execução da suíte</w:t>
            </w:r>
          </w:p>
        </w:tc>
        <w:tc>
          <w:tcPr>
            <w:tcW w:type="dxa" w:w="3231"/>
            <w:tcMar>
              <w:top w:w="90" w:type="dxa"/>
              <w:start w:w="70" w:type="dxa"/>
              <w:bottom w:w="90" w:type="dxa"/>
              <w:end w:w="70" w:type="dxa"/>
            </w:tcMar>
            <w:shd w:val="clear" w:color="auto" w:fill="EAF1F8"/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17365D"/>
                <w:sz w:val="26"/>
              </w:rPr>
              <w:t>4 cenários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595959"/>
                <w:sz w:val="16"/>
              </w:rPr>
              <w:t>normal, unsafe_service, listener, partial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Cenários reproduzíveis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1814"/>
        <w:gridCol w:w="4932"/>
        <w:gridCol w:w="2948"/>
      </w:tblGrid>
      <w:tr>
        <w:tc>
          <w:tcPr>
            <w:tcW w:type="dxa" w:w="1814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Cenário</w:t>
            </w:r>
          </w:p>
        </w:tc>
        <w:tc>
          <w:tcPr>
            <w:tcW w:type="dxa" w:w="4932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Evidência principal</w:t>
            </w:r>
          </w:p>
        </w:tc>
        <w:tc>
          <w:tcPr>
            <w:tcW w:type="dxa" w:w="2948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Resultado esperado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normal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Serviço UID 0 com recursos 0755/0644 controlados por root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Sem C1; C3 informational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unsafe_service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/opt/demo/worker com modo 0777 executado por serviço privilegiado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C1 needs_review + C3 informational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listener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Socket 0.0.0.0:8080 no PID 43; cadeia 43 → 42 alcança MainPID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C2 descendant_of_main_pid + dois C3 informational</w:t>
            </w:r>
          </w:p>
        </w:tc>
      </w:tr>
      <w:tr>
        <w:tc>
          <w:tcPr>
            <w:tcW w:type="dxa" w:w="1814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6"/>
              </w:rPr>
              <w:t>partial</w:t>
            </w:r>
          </w:p>
        </w:tc>
        <w:tc>
          <w:tcPr>
            <w:tcW w:type="dxa" w:w="4932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UID, permissões e pai indisponíveis</w:t>
            </w:r>
          </w:p>
        </w:tc>
        <w:tc>
          <w:tcPr>
            <w:tcW w:type="dxa" w:w="2948"/>
            <w:tcMar>
              <w:top w:w="55" w:type="dxa"/>
              <w:start w:w="65" w:type="dxa"/>
              <w:bottom w:w="5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6"/>
              </w:rPr>
              <w:t>C1/C2/C3 inconclusive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Execução real na Kali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8"/>
        </w:rPr>
        <w:t xml:space="preserve">Um scan manual do host, </w:t>
      </w:r>
      <w:r>
        <w:rPr>
          <w:rFonts w:ascii="Aptos" w:hAnsi="Aptos"/>
          <w:b w:val="0"/>
          <w:i w:val="0"/>
          <w:sz w:val="18"/>
        </w:rPr>
        <w:t xml:space="preserve">executado como usuário sem privilégios (sem sudo)</w:t>
      </w:r>
      <w:r>
        <w:rPr>
          <w:rFonts w:ascii="Aptos" w:hAnsi="Aptos"/>
          <w:b w:val="0"/>
          <w:i w:val="0"/>
          <w:sz w:val="18"/>
        </w:rPr>
        <w:t xml:space="preserve">, coletou 175 processos, 21 serviços, 1 socket e 101 registros de permissões. O relatório registrou 97 issues de coleta — principalmente campos de executáveis inacessíveis sem privilégios, visibilidade limitada de sockets e ExecStart não resolvido — e produziu 20 findings informational, 0 needs_review e 6 inconclusive. Esse resultado é coerente com o projeto: limitações são preservadas como evidência ausente, e a ausência de um sinal forte não é convertida artificialmente em alerta.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Exemplos observados na validação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C1 (unsafe_service): serviço ativo, MainPID 42, UID 0 e /opt/demo/worker em 0777 → interpretação de escrita direta por não-root → needs_review, sem afirmar exploração.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C2 (listener): socket PID 43 → PPID 42 → demo.service; evidência registra association=descendant_of_main_pid e cadeia 43 → 42 → informational.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C1/C2/C3 (partial): identidade, permissões e pai ausentes → três resultados inconclusive, preservando explicitamente as lacunas.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Exemplo de finding completo (C1, cenário unsafe_service — resumido)</w:t>
      </w:r>
    </w:p>
    <w:tbl>
      <w:tblPr>
        <w:tblW w:type="dxa" w:w="9694"/>
        <w:jc w:val="center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7794"/>
      </w:tblGrid>
      <w:tr>
        <w:tc>
          <w:tcPr>
            <w:tcW w:w="1900" w:type="dxa"/>
            <w:shd w:val="clear" w:color="auto" w:fill="D9E2F3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17365D"/>
                <w:sz w:val="16"/>
              </w:rPr>
              <w:t xml:space="preserve">Campo</w:t>
            </w:r>
          </w:p>
        </w:tc>
        <w:tc>
          <w:tcPr>
            <w:tcW w:w="7794" w:type="dxa"/>
            <w:shd w:val="clear" w:color="auto" w:fill="D9E2F3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17365D"/>
                <w:sz w:val="16"/>
              </w:rPr>
              <w:t xml:space="preserve">Conteúdo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Evidência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Serviço ativo; MainPID 42; UID efetivo 0; recurso /opt/demo/worker com modo 0777.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Interpretação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r>
              <w:rPr/>
              <w:t>Pelos bits POSIX observados, o recurso possui escrita para “outros”, indicando possibilidade de modificação por identidade não-root.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Hipótese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Possível relação de privilégio insegura (configuração inadequada). Não indica que o arquivo foi alterado nem que houve exploração.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Evidência ausente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Integridade/histórico do arquivo (hash de referência), ACLs, flags de mount (ro/noexec), atributos imutáveis e logs que liguem alguma alteração a um usuário.</w:t>
            </w:r>
          </w:p>
        </w:tc>
      </w:tr>
      <w:tr>
        <w:tc>
          <w:tcPr>
            <w:tcW w:w="1900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sz w:val="16"/>
              </w:rPr>
              <w:t xml:space="preserve">Resultado</w:t>
            </w:r>
          </w:p>
        </w:tc>
        <w:tc>
          <w:tcPr>
            <w:tcW w:w="7794" w:type="dxa"/>
            <w:tcMar>
              <w:top w:w="45" w:type="dxa"/>
              <w:start w:w="70" w:type="dxa"/>
              <w:bottom w:w="4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sz w:val="16"/>
              </w:rPr>
              <w:t xml:space="preserve">needs_review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Reprodutibilidade</w:t>
      </w:r>
    </w:p>
    <w:p>
      <w:pPr>
        <w:spacing w:after="30" w:line="252" w:lineRule="auto"/>
      </w:pPr>
      <w:r>
        <w:rPr>
          <w:rFonts w:ascii="Aptos" w:hAnsi="Aptos"/>
          <w:b w:val="0"/>
          <w:i w:val="0"/>
          <w:sz w:val="17"/>
        </w:rPr>
        <w:t>A análise offline reutiliza as mesmas correlações do scan e não consulta o host. Snapshots reais podem ser salvos em snapshots-local/ (ignorada pelo Git) com modo 0600; a CLI recusa sobrescrita. Isso permite auditar e reanalisar exatamente o mesmo conjunto de evidências.</w:t>
      </w:r>
    </w:p>
    <w:p>
      <w:r>
        <w:rPr/>
        <w:br w:type="page"/>
      </w:r>
    </w:p>
    <w:p>
      <w:pPr>
        <w:spacing w:before="80" w:after="60"/>
      </w:pPr>
      <w:r>
        <w:rPr>
          <w:rFonts w:ascii="Aptos" w:hAnsi="Aptos"/>
          <w:b/>
          <w:color w:val="17365D"/>
          <w:sz w:val="26"/>
        </w:rPr>
        <w:t>5. Limitações, uso de IA e conclusão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Limitações conhecidas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Snapshot não atômico: PIDs, arquivos, serviços e sockets podem mudar entre observações; MainPID/PPID não garantem identidade temporal.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Visibilidade depende das permissões e do namespace. Falta de registros ou findings não comprova ausência de atividade ou risco.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Bits POSIX não equivalem a acesso efetivo: ACLs, capabilities, flags de mount, atributos imutáveis, grupos suplementares, symlinks e ancestrais podem alterar a conclusão.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A ancestralidade PPID de C2 é contextual. Cgroups, units .socket, socket activation e PID namespaces/containers não são resolvidos.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sz w:val="17"/>
        </w:rPr>
        <w:t>ExecStart ambíguo não é expandido; UDP pode representar cliente; firewall, autenticação, intenção de configuração e integridade histórica não são avaliados.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b/>
          <w:i w:val="0"/>
          <w:sz w:val="17"/>
        </w:rPr>
        <w:t xml:space="preserve">Falsos positivos possíveis: </w:t>
      </w:r>
      <w:r>
        <w:rPr>
          <w:rFonts w:ascii="Aptos" w:hAnsi="Aptos"/>
          <w:b w:val="0"/>
          <w:i w:val="0"/>
          <w:sz w:val="17"/>
        </w:rPr>
        <w:t xml:space="preserve">needs_review para arquivo 0777 cujo acesso real é bloqueado por diretório ancestral restritivo, mount somente leitura ou atributo imutável; associação de socket/processo ao serviço errado em C2 se um PID for reutilizado durante a coleta.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b/>
          <w:i w:val="0"/>
          <w:sz w:val="17"/>
        </w:rPr>
        <w:t xml:space="preserve">Falsos negativos possíveis: </w:t>
      </w:r>
      <w:r>
        <w:rPr>
          <w:rFonts w:ascii="Aptos" w:hAnsi="Aptos"/>
          <w:b w:val="0"/>
          <w:i w:val="0"/>
          <w:sz w:val="17"/>
        </w:rPr>
        <w:t xml:space="preserve">escrita concedida por ACL, grupo suplementar, capability ou diretório acima do pai imediato não gera needs_review; recursos citados só em ExecStart ambíguo não são avaliados.</w:t>
      </w:r>
    </w:p>
    <w:p>
      <w:pPr>
        <w:pStyle w:val="ListBullet"/>
        <w:spacing w:after="36" w:line="240" w:lineRule="auto"/>
        <w:ind w:left="198" w:hanging="85"/>
      </w:pPr>
      <w:r>
        <w:rPr>
          <w:rFonts w:ascii="Aptos" w:hAnsi="Aptos"/>
          <w:b/>
          <w:i w:val="0"/>
          <w:sz w:val="17"/>
        </w:rPr>
        <w:t xml:space="preserve">Sem logs: </w:t>
      </w:r>
      <w:r>
        <w:rPr>
          <w:rFonts w:ascii="Aptos" w:hAnsi="Aptos"/>
          <w:b w:val="0"/>
          <w:i w:val="0"/>
          <w:sz w:val="17"/>
        </w:rPr>
        <w:t xml:space="preserve">journald/syslog não são coletados, portanto não há reconstrução temporal (“processo + serviço + log”) nem como saber se uma configuração insegura já foi explorada.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Uso de IA generativa</w:t>
      </w:r>
    </w:p>
    <w:p>
      <w:pPr>
        <w:spacing w:after="80" w:line="252" w:lineRule="auto"/>
      </w:pPr>
      <w:r>
        <w:rPr/>
        <w:t>IA generativa (ChatGPT, Codex e Claude) foi usada como apoio à programação, à escrita de testes, à revisão de código e à documentação. O código sugerido foi revisado durante o desenvolvimento e só incorporado após passar pela suíte de testes. A ferramenta não depende de LLM em execução: coleta, normalização, análise de permissões e correlações são mecanismos determinísticos próprios, e os textos de interpretação e hipótese de cada finding são gerados por regras, não por um modelo. Isso atende à exigência de produzir evidências estruturadas antes de qualquer interpretação e evita que uma resposta probabilística seja a única camada de análise.</w:t>
      </w:r>
    </w:p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Rastreabilidade dos requisitos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3401"/>
        <w:gridCol w:w="6349"/>
      </w:tblGrid>
      <w:tr>
        <w:tc>
          <w:tcPr>
            <w:tcW w:type="dxa" w:w="3401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Requisito do enunciado</w:t>
            </w:r>
          </w:p>
        </w:tc>
        <w:tc>
          <w:tcPr>
            <w:tcW w:type="dxa" w:w="6349"/>
            <w:shd w:val="clear" w:color="auto" w:fill="D9E2F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6"/>
              </w:rPr>
              <w:t>Evidência demonstrável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Funcionamento da solução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CLI scan/analyze, snapshots, texto/JSON, coleta parcial e 139 testes.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Processos, permissões e serviços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Coletores dedicados e modelos explícitos para as três dimensões obrigatórias.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Correlação entre evidências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C1, C2 e C3; C2 inclui MainPID direto e ancestralidade PPID.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Evidência × interpretação × hipótese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Finding separa evidência, interpretação, hipótese e evidência ausente; suporta inconclusive.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Arquitetura, código e documentação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Módulos pequenos, uma dependência de runtime, README, arquitetura, demo e relatório.</w:t>
            </w:r>
          </w:p>
        </w:tc>
      </w:tr>
      <w:tr>
        <w:tc>
          <w:tcPr>
            <w:tcW w:type="dxa" w:w="3401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/>
                <w:i w:val="0"/>
                <w:sz w:val="15"/>
              </w:rPr>
              <w:t>Demonstração</w:t>
            </w:r>
          </w:p>
        </w:tc>
        <w:tc>
          <w:tcPr>
            <w:tcW w:type="dxa" w:w="6349"/>
            <w:tcMar>
              <w:top w:w="45" w:type="dxa"/>
              <w:start w:w="65" w:type="dxa"/>
              <w:bottom w:w="45" w:type="dxa"/>
              <w:end w:w="65" w:type="dxa"/>
            </w:tcMar>
          </w:tcPr>
          <w:p>
            <w:r>
              <w:rPr>
                <w:rFonts w:ascii="Aptos" w:hAnsi="Aptos"/>
                <w:b w:val="0"/>
                <w:i w:val="0"/>
                <w:sz w:val="15"/>
              </w:rPr>
              <w:t>Quatro fixtures reproduzíveis + scan real na Kali.</w:t>
            </w:r>
          </w:p>
        </w:tc>
      </w:tr>
    </w:tbl>
    <w:p>
      <w:pPr>
        <w:spacing w:before="40" w:after="40"/>
      </w:pPr>
      <w:r>
        <w:rPr>
          <w:rFonts w:ascii="Aptos" w:hAnsi="Aptos"/>
          <w:b/>
          <w:color w:val="365F91"/>
          <w:sz w:val="21"/>
        </w:rPr>
        <w:t>Conclusão</w:t>
      </w:r>
    </w:p>
    <w:p>
      <w:pPr>
        <w:spacing w:after="80" w:line="252" w:lineRule="auto"/>
      </w:pPr>
      <w:r>
        <w:rPr>
          <w:rFonts w:ascii="Aptos" w:hAnsi="Aptos"/>
          <w:b w:val="0"/>
          <w:i w:val="0"/>
          <w:sz w:val="18"/>
        </w:rPr>
        <w:t>O Endpoint Investigator cumpre o objetivo de observar, coletar, relacionar evidências e formular hipóteses justificáveis em GNU/Linux sem se comportar como antivírus ou EDR completo. A solução privilegia correlações explicáveis e resultados conservadores: relações fortes geram needs_review, contexto legítimo permanece informational e dados insuficientes resultam em inconclusive. O escopo final cobre os requisitos obrigatórios com uma arquitetura pequena, reproduzível e defensável em demonstração.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E2F3"/>
          <w:left w:val="single" w:sz="4" w:color="D9E2F3"/>
          <w:bottom w:val="single" w:sz="4" w:color="D9E2F3"/>
          <w:right w:val="single" w:sz="4" w:color="D9E2F3"/>
          <w:insideH w:val="single" w:sz="4" w:color="D9E2F3"/>
          <w:insideV w:val="single" w:sz="4" w:color="D9E2F3"/>
        </w:tblBorders>
      </w:tblPr>
      <w:tblGrid>
        <w:gridCol w:w="10148"/>
      </w:tblGrid>
      <w:tr>
        <w:tc>
          <w:tcPr>
            <w:tcW w:type="dxa" w:w="10148"/>
            <w:shd w:val="clear" w:color="auto" w:fill="F4F7FB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r>
              <w:rPr>
                <w:rFonts w:ascii="Aptos" w:hAnsi="Aptos"/>
                <w:b/>
                <w:i w:val="0"/>
                <w:color w:val="17365D"/>
                <w:sz w:val="17"/>
              </w:rPr>
              <w:t>Comandos essenciais</w:t>
            </w:r>
          </w:p>
          <w:p>
            <w:pPr>
              <w:spacing w:after="10"/>
            </w:pPr>
            <w:r>
              <w:rPr>
                <w:rFonts w:ascii="Liberation Mono" w:hAnsi="Liberation Mono"/>
                <w:sz w:val="15"/>
              </w:rPr>
              <w:t>.venv/bin/python -m endpoint_investigator scan</w:t>
            </w:r>
          </w:p>
          <w:p>
            <w:pPr>
              <w:spacing w:after="10"/>
            </w:pPr>
            <w:r>
              <w:rPr>
                <w:rFonts w:ascii="Liberation Mono" w:hAnsi="Liberation Mono"/>
                <w:sz w:val="15"/>
              </w:rPr>
              <w:t>.venv/bin/python -m endpoint_investigator analyze tests/fixtures/scenario_unsafe_service.json</w:t>
            </w:r>
          </w:p>
          <w:p>
            <w:pPr>
              <w:spacing w:after="10"/>
            </w:pPr>
            <w:r>
              <w:rPr>
                <w:rFonts w:ascii="Liberation Mono" w:hAnsi="Liberation Mono"/>
                <w:sz w:val="15"/>
              </w:rPr>
              <w:t>.venv/bin/python -m endpoint_investigator analyze tests/fixtures/scenario_listener.json</w:t>
            </w:r>
          </w:p>
          <w:p>
            <w:pPr>
              <w:spacing w:after="10"/>
            </w:pPr>
            <w:r>
              <w:rPr>
                <w:rFonts w:ascii="Liberation Mono" w:hAnsi="Liberation Mono"/>
                <w:sz w:val="15"/>
              </w:rPr>
              <w:t>.venv/bin/python -m pytest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65" w:right="879" w:bottom="709" w:left="879" w:header="312" w:footer="312" w:gutter="0"/>
      <w:cols w:space="720"/>
      <w:docGrid w:linePitch="360"/>
    </w:sectPr>
  </w:body>
</w:document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F7F7F"/>
        <w:sz w:val="15"/>
      </w:rPr>
      <w:t xml:space="preserve">Endpoint Investigator  |  Página </w:t>
    </w:r>
    <w:r>
      <w:rPr>
        <w:rFonts w:ascii="Aptos" w:hAnsi="Aptos"/>
        <w:color w:val="7F7F7F"/>
        <w:sz w:val="15"/>
      </w:rPr>
      <w:fldChar w:fldCharType="begin"/>
      <w:instrText xml:space="preserve">PAGE</w:instrText>
      <w:fldChar w:fldCharType="end"/>
    </w:r>
    <w:r>
      <w:rPr>
        <w:rFonts w:ascii="Aptos" w:hAnsi="Aptos"/>
        <w:color w:val="7F7F7F"/>
        <w:sz w:val="15"/>
      </w:rPr>
      <w:t xml:space="preserve"> de </w:t>
    </w:r>
    <w:r>
      <w:rPr>
        <w:rFonts w:ascii="Aptos" w:hAnsi="Aptos"/>
        <w:color w:val="7F7F7F"/>
        <w:sz w:val="15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7F7F7F"/>
        <w:sz w:val="15"/>
      </w:rPr>
      <w:t>Tecnologias Hackers  |  Avaliação Intermediária</w:t>
    </w:r>
  </w:p>
</w:hdr>
</file>

<file path=word/numbering.xml><?xml version="1.0" encoding="utf-8"?>
<w:numbering xmlns:w="http://schemas.openxmlformats.org/wordprocessingml/2006/main">
  <w:abstractNum w:abstractNumId="8">
    <w:multiLevelType w:val="singleLevel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num w:numId="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18"/>
      </w:rPr>
    </w:rPrDefault>
    <w:pPrDefault/>
  </w:docDefaults>
  <w:style w:type="paragraph" w:default="1" w:styleId="Normal">
    <w:name w:val="Normal"/>
    <w:qFormat/>
    <w:rPr>
      <w:rFonts w:ascii="Aptos" w:hAnsi="Aptos"/>
      <w:sz w:val="18"/>
    </w:rPr>
  </w:style>
  <w:style w:type="character" w:default="1" w:styleId="DefaultParagraphFont">
    <w:name w:val="Default Paragraph Font"/>
  </w:style>
  <w:style w:type="paragraph" w:styleId="ListBullet">
    <w:name w:val="List Bullet"/>
    <w:basedOn w:val="Normal"/>
    <w:pPr>
      <w:numPr>
        <w:numId w:val="1"/>
      </w:numPr>
      <w:contextualSpacing/>
    </w:pPr>
    <w:rPr>
      <w:rFonts w:ascii="Aptos" w:hAnsi="Aptos"/>
      <w:sz w:val="18"/>
    </w:rPr>
  </w:style>
  <w:style w:type="paragraph" w:styleId="Header">
    <w:name w:val="header"/>
    <w:basedOn w:val="Normal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pPr>
      <w:tabs>
        <w:tab w:val="center" w:pos="4680"/>
        <w:tab w:val="right" w:pos="9360"/>
      </w:tabs>
      <w:spacing w:after="0" w:line="240" w:lineRule="auto"/>
    </w:p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Endpoint Investigator — Relatório Técnico Final</dc:title>
  <dc:subject>Avaliação Intermediária de Tecnologias Hackers</dc:subject>
  <dc:creator>python-docx</dc:creator>
  <cp:keywords>GNU/Linux, endpoint, processos, permissões, serviços, correlação, segurança</cp:keywords>
  <dc:description>Documento técnico final gerado a partir da implementação e documentação versionadas do projeto.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