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color w:val="17365D"/>
          <w:sz w:val="40"/>
        </w:rPr>
        <w:t>ENDPOINT INVESTIGATOR</w:t>
      </w:r>
    </w:p>
    <w:p>
      <w:pPr>
        <w:spacing w:after="140"/>
        <w:jc w:val="center"/>
      </w:pPr>
      <w:r>
        <w:rPr>
          <w:rFonts w:ascii="Aptos" w:hAnsi="Aptos"/>
          <w:b/>
          <w:color w:val="595959"/>
          <w:sz w:val="21"/>
        </w:rPr>
        <w:t>Relatório técnico final — investigação de segurança em GNU/Linux</w:t>
      </w:r>
    </w:p>
    <w:p>
      <w:pPr>
        <w:spacing w:after="160"/>
        <w:jc w:val="center"/>
      </w:pPr>
      <w:r>
        <w:rPr>
          <w:rFonts w:ascii="Aptos" w:hAnsi="Aptos"/>
          <w:color w:val="7F7F7F"/>
          <w:sz w:val="17"/>
        </w:rPr>
        <w:t>Avaliação Intermediária • Prof. Rodolfo Avelino • Setembro de 2026</w:t>
      </w:r>
    </w:p>
    <w:p>
      <w:pPr>
        <w:spacing w:before="80" w:after="60"/>
      </w:pPr>
      <w:r>
        <w:rPr>
          <w:rFonts w:ascii="Aptos" w:hAnsi="Aptos"/>
          <w:b/>
          <w:color w:val="17365D"/>
          <w:sz w:val="26"/>
        </w:rPr>
        <w:t>1. Problema e estratégia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9"/>
        </w:rPr>
        <w:t>O Endpoint Investigator é uma ferramenta local, read-only e executada sob demanda para apoiar a investigação de segurança de endpoints GNU/Linux. O projeto parte do princípio de que sinais isolados — como um processo com nome incomum, um serviço executado como root ou uma porta em escuta — não caracterizam, por si só, um incidente. A ferramenta coleta fatos, relaciona entidades e produz hipóteses rastreáveis, deixando explícito o que ainda não pode ser concluído.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74"/>
        <w:gridCol w:w="5074"/>
      </w:tblGrid>
      <w:tr>
        <w:tc>
          <w:tcPr>
            <w:tcW w:type="dxa" w:w="4932"/>
            <w:tcMar>
              <w:top w:w="95" w:type="dxa"/>
              <w:start w:w="120" w:type="dxa"/>
              <w:bottom w:w="95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>Escopo obrigatório</w:t>
            </w:r>
          </w:p>
          <w:p>
            <w:pPr>
              <w:pStyle w:val="ListBullet"/>
              <w:spacing w:after="0"/>
              <w:ind w:left="170"/>
            </w:pPr>
            <w:r>
              <w:rPr>
                <w:rFonts w:ascii="Aptos" w:hAnsi="Aptos"/>
                <w:b w:val="0"/>
                <w:i w:val="0"/>
                <w:sz w:val="17"/>
              </w:rPr>
              <w:t>Processos e identidade</w:t>
            </w:r>
          </w:p>
          <w:p>
            <w:pPr>
              <w:pStyle w:val="ListBullet"/>
              <w:spacing w:after="0"/>
              <w:ind w:left="170"/>
            </w:pPr>
            <w:r>
              <w:rPr>
                <w:rFonts w:ascii="Aptos" w:hAnsi="Aptos"/>
                <w:b w:val="0"/>
                <w:i w:val="0"/>
                <w:sz w:val="17"/>
              </w:rPr>
              <w:t>Serviços systemd</w:t>
            </w:r>
          </w:p>
          <w:p>
            <w:pPr>
              <w:pStyle w:val="ListBullet"/>
              <w:spacing w:after="0"/>
              <w:ind w:left="170"/>
            </w:pPr>
            <w:r>
              <w:rPr>
                <w:rFonts w:ascii="Aptos" w:hAnsi="Aptos"/>
                <w:b w:val="0"/>
                <w:i w:val="0"/>
                <w:sz w:val="17"/>
              </w:rPr>
              <w:t>Permissões contextuais</w:t>
            </w:r>
          </w:p>
        </w:tc>
        <w:tc>
          <w:tcPr>
            <w:tcW w:type="dxa" w:w="4932"/>
            <w:tcMar>
              <w:top w:w="95" w:type="dxa"/>
              <w:start w:w="120" w:type="dxa"/>
              <w:bottom w:w="95" w:type="dxa"/>
              <w:end w:w="120" w:type="dxa"/>
            </w:tcMar>
            <w:shd w:fill="F4F7FB"/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>Princípios</w:t>
            </w:r>
          </w:p>
          <w:p>
            <w:pPr>
              <w:pStyle w:val="ListBullet"/>
              <w:spacing w:after="0"/>
              <w:ind w:left="170"/>
            </w:pPr>
            <w:r>
              <w:rPr>
                <w:rFonts w:ascii="Aptos" w:hAnsi="Aptos"/>
                <w:b w:val="0"/>
                <w:i w:val="0"/>
                <w:sz w:val="17"/>
              </w:rPr>
              <w:t>Evidência antes de interpretação</w:t>
            </w:r>
          </w:p>
          <w:p>
            <w:pPr>
              <w:pStyle w:val="ListBullet"/>
              <w:spacing w:after="0"/>
              <w:ind w:left="170"/>
            </w:pPr>
            <w:r>
              <w:rPr>
                <w:rFonts w:ascii="Aptos" w:hAnsi="Aptos"/>
                <w:b w:val="0"/>
                <w:i w:val="0"/>
                <w:sz w:val="17"/>
              </w:rPr>
              <w:t>Resultados inconclusivos quando necessário</w:t>
            </w:r>
          </w:p>
          <w:p>
            <w:pPr>
              <w:pStyle w:val="ListBullet"/>
              <w:spacing w:after="0"/>
              <w:ind w:left="170"/>
            </w:pPr>
            <w:r>
              <w:rPr>
                <w:rFonts w:ascii="Aptos" w:hAnsi="Aptos"/>
                <w:b w:val="0"/>
                <w:i w:val="0"/>
                <w:sz w:val="17"/>
              </w:rPr>
              <w:t>Sem score de risco artificial</w:t>
            </w:r>
          </w:p>
        </w:tc>
      </w:tr>
    </w:tbl>
    <w:p>
      <w:pPr>
        <w:spacing w:before="80" w:after="60"/>
      </w:pPr>
      <w:r>
        <w:rPr>
          <w:rFonts w:ascii="Aptos" w:hAnsi="Aptos"/>
          <w:b/>
          <w:color w:val="17365D"/>
          <w:sz w:val="26"/>
        </w:rPr>
        <w:t>2. Arquitetura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6E7"/>
          <w:left w:val="single" w:sz="5" w:color="B4C6E7"/>
          <w:bottom w:val="single" w:sz="5" w:color="B4C6E7"/>
          <w:right w:val="single" w:sz="5" w:color="B4C6E7"/>
          <w:insideH w:val="single" w:sz="5" w:color="B4C6E7"/>
          <w:insideV w:val="single" w:sz="5" w:color="B4C6E7"/>
        </w:tblBorders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485"/>
            <w:tcMar>
              <w:top w:w="65" w:type="dxa"/>
              <w:start w:w="55" w:type="dxa"/>
              <w:bottom w:w="65" w:type="dxa"/>
              <w:end w:w="55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Coleta</w:t>
            </w:r>
          </w:p>
        </w:tc>
        <w:tc>
          <w:tcPr>
            <w:tcW w:type="dxa" w:w="1485"/>
            <w:tcMar>
              <w:top w:w="65" w:type="dxa"/>
              <w:start w:w="55" w:type="dxa"/>
              <w:bottom w:w="65" w:type="dxa"/>
              <w:end w:w="55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Normalização</w:t>
            </w:r>
          </w:p>
        </w:tc>
        <w:tc>
          <w:tcPr>
            <w:tcW w:type="dxa" w:w="1485"/>
            <w:tcMar>
              <w:top w:w="65" w:type="dxa"/>
              <w:start w:w="55" w:type="dxa"/>
              <w:bottom w:w="65" w:type="dxa"/>
              <w:end w:w="55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Permissões</w:t>
            </w:r>
          </w:p>
        </w:tc>
        <w:tc>
          <w:tcPr>
            <w:tcW w:type="dxa" w:w="1485"/>
            <w:tcMar>
              <w:top w:w="65" w:type="dxa"/>
              <w:start w:w="55" w:type="dxa"/>
              <w:bottom w:w="65" w:type="dxa"/>
              <w:end w:w="55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Correlação</w:t>
            </w:r>
          </w:p>
        </w:tc>
        <w:tc>
          <w:tcPr>
            <w:tcW w:type="dxa" w:w="1485"/>
            <w:tcMar>
              <w:top w:w="65" w:type="dxa"/>
              <w:start w:w="55" w:type="dxa"/>
              <w:bottom w:w="65" w:type="dxa"/>
              <w:end w:w="55" w:type="dxa"/>
            </w:tcMar>
            <w:vAlign w:val="center"/>
            <w:shd w:fill="EAF1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Findings</w:t>
            </w:r>
          </w:p>
        </w:tc>
        <w:tc>
          <w:tcPr>
            <w:tcW w:type="dxa" w:w="1729"/>
            <w:tcMar>
              <w:top w:w="65" w:type="dxa"/>
              <w:start w:w="55" w:type="dxa"/>
              <w:bottom w:w="65" w:type="dxa"/>
              <w:end w:w="55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Texto / JSON</w:t>
            </w:r>
          </w:p>
        </w:tc>
      </w:tr>
    </w:tbl>
    <w:p>
      <w:pPr>
        <w:spacing w:after="60" w:line="252" w:lineRule="auto"/>
      </w:pPr>
      <w:r>
        <w:rPr>
          <w:rFonts w:ascii="Aptos" w:hAnsi="Aptos"/>
          <w:b w:val="0"/>
          <w:i w:val="0"/>
          <w:sz w:val="18"/>
        </w:rPr>
        <w:t>O mesmo núcleo de correlação é reutilizado em dois caminhos: (a) scan ao vivo na Kali, com coleta do host; e (b) análise offline de snapshots JSON, usada para testes determinísticos e demonstrações reproduzíveis. Coletores observam; modelos normalizam; a correlação relaciona entidades; e a camada de apresentação apenas transforma o resultado em texto ou JSON.</w:t>
      </w:r>
    </w:p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Fontes de informação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3"/>
        <w:gridCol w:w="3383"/>
        <w:gridCol w:w="3383"/>
      </w:tblGrid>
      <w:tr>
        <w:tc>
          <w:tcPr>
            <w:tcW w:type="dxa" w:w="2267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Dimensão</w:t>
            </w:r>
          </w:p>
        </w:tc>
        <w:tc>
          <w:tcPr>
            <w:tcW w:type="dxa" w:w="2834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Fonte</w:t>
            </w:r>
          </w:p>
        </w:tc>
        <w:tc>
          <w:tcPr>
            <w:tcW w:type="dxa" w:w="4875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Dados usados</w:t>
            </w:r>
          </w:p>
        </w:tc>
      </w:tr>
      <w:tr>
        <w:tc>
          <w:tcPr>
            <w:tcW w:type="dxa" w:w="226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Processos</w:t>
            </w:r>
          </w:p>
        </w:tc>
        <w:tc>
          <w:tcPr>
            <w:tcW w:type="dxa" w:w="283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psutil</w:t>
            </w:r>
          </w:p>
        </w:tc>
        <w:tc>
          <w:tcPr>
            <w:tcW w:type="dxa" w:w="4875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PID, PPID, UID/GID, usuário, comando, executável, estado</w:t>
            </w:r>
          </w:p>
        </w:tc>
      </w:tr>
      <w:tr>
        <w:tc>
          <w:tcPr>
            <w:tcW w:type="dxa" w:w="226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Serviços</w:t>
            </w:r>
          </w:p>
        </w:tc>
        <w:tc>
          <w:tcPr>
            <w:tcW w:type="dxa" w:w="283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systemctl</w:t>
            </w:r>
          </w:p>
        </w:tc>
        <w:tc>
          <w:tcPr>
            <w:tcW w:type="dxa" w:w="4875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unit, estado, MainPID, User/Group, FragmentPath, ExecStart</w:t>
            </w:r>
          </w:p>
        </w:tc>
      </w:tr>
      <w:tr>
        <w:tc>
          <w:tcPr>
            <w:tcW w:type="dxa" w:w="226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Rede</w:t>
            </w:r>
          </w:p>
        </w:tc>
        <w:tc>
          <w:tcPr>
            <w:tcW w:type="dxa" w:w="283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psutil.net_connections</w:t>
            </w:r>
          </w:p>
        </w:tc>
        <w:tc>
          <w:tcPr>
            <w:tcW w:type="dxa" w:w="4875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TCP LISTEN e UDP vinculado, endereço/porta e PID quando disponível</w:t>
            </w:r>
          </w:p>
        </w:tc>
      </w:tr>
      <w:tr>
        <w:tc>
          <w:tcPr>
            <w:tcW w:type="dxa" w:w="2267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Permissões</w:t>
            </w:r>
          </w:p>
        </w:tc>
        <w:tc>
          <w:tcPr>
            <w:tcW w:type="dxa" w:w="283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os.stat + pwd/grp</w:t>
            </w:r>
          </w:p>
        </w:tc>
        <w:tc>
          <w:tcPr>
            <w:tcW w:type="dxa" w:w="4875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owner/grupo, modo POSIX e diretório pai imediato</w:t>
            </w:r>
          </w:p>
        </w:tc>
      </w:tr>
    </w:tbl>
    <w:p>
      <w:r>
        <w:br w:type="page"/>
      </w:r>
    </w:p>
    <w:p>
      <w:pPr>
        <w:spacing w:before="80" w:after="60"/>
      </w:pPr>
      <w:r>
        <w:rPr>
          <w:rFonts w:ascii="Aptos" w:hAnsi="Aptos"/>
          <w:b/>
          <w:color w:val="17365D"/>
          <w:sz w:val="26"/>
        </w:rPr>
        <w:t>3. Correlações e modelo de resultado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9"/>
        </w:rPr>
        <w:t>A análise é determinística e opera somente sobre o snapshot. O núcleo implementa três correlações, cada uma com guardrails para impedir que sinais isolados sejam convertidos em conclusões fortes.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247"/>
            <w:shd w:fill="D9E2F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Correlação</w:t>
            </w:r>
          </w:p>
        </w:tc>
        <w:tc>
          <w:tcPr>
            <w:tcW w:type="dxa" w:w="3855"/>
            <w:shd w:fill="D9E2F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Relação observada</w:t>
            </w:r>
          </w:p>
        </w:tc>
        <w:tc>
          <w:tcPr>
            <w:tcW w:type="dxa" w:w="1757"/>
            <w:shd w:fill="D9E2F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Resultado</w:t>
            </w:r>
          </w:p>
        </w:tc>
        <w:tc>
          <w:tcPr>
            <w:tcW w:type="dxa" w:w="3118"/>
            <w:shd w:fill="D9E2F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Guardrail principal</w:t>
            </w:r>
          </w:p>
        </w:tc>
      </w:tr>
      <w:tr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6"/>
              </w:rPr>
              <w:t>C1</w:t>
            </w:r>
          </w:p>
        </w:tc>
        <w:tc>
          <w:tcPr>
            <w:tcW w:type="dxa" w:w="3855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Serviço ativo → MainPID → UID efetivo → recurso → permissões</w:t>
            </w:r>
          </w:p>
        </w:tc>
        <w:tc>
          <w:tcPr>
            <w:tcW w:type="dxa" w:w="175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needs_review ou inconclusive</w:t>
            </w:r>
          </w:p>
        </w:tc>
        <w:tc>
          <w:tcPr>
            <w:tcW w:type="dxa" w:w="311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Root sozinho nunca gera finding. needs_review exige UID 0 observado + sinal POSIX de modificação por não-root.</w:t>
            </w:r>
          </w:p>
        </w:tc>
      </w:tr>
      <w:tr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6"/>
              </w:rPr>
              <w:t>C2</w:t>
            </w:r>
          </w:p>
        </w:tc>
        <w:tc>
          <w:tcPr>
            <w:tcW w:type="dxa" w:w="3855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Socket → PID → processo → serviço → identidade</w:t>
            </w:r>
          </w:p>
        </w:tc>
        <w:tc>
          <w:tcPr>
            <w:tcW w:type="dxa" w:w="175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informational ou inconclusive</w:t>
            </w:r>
          </w:p>
        </w:tc>
        <w:tc>
          <w:tcPr>
            <w:tcW w:type="dxa" w:w="311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Porta aberta não é vulnerabilidade. Associação pode ser direta por MainPID ou contextual por ancestralidade PPID.</w:t>
            </w:r>
          </w:p>
        </w:tc>
      </w:tr>
      <w:tr>
        <w:tc>
          <w:tcPr>
            <w:tcW w:type="dxa" w:w="124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6"/>
              </w:rPr>
              <w:t>C3</w:t>
            </w:r>
          </w:p>
        </w:tc>
        <w:tc>
          <w:tcPr>
            <w:tcW w:type="dxa" w:w="3855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Processo relevante → PPID → processo pai → identidades</w:t>
            </w:r>
          </w:p>
        </w:tc>
        <w:tc>
          <w:tcPr>
            <w:tcW w:type="dxa" w:w="175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informational ou inconclusive</w:t>
            </w:r>
          </w:p>
        </w:tc>
        <w:tc>
          <w:tcPr>
            <w:tcW w:type="dxa" w:w="311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Diferença de UID, PPID ou nome não prova escalada ou comprometimento.</w:t>
            </w:r>
          </w:p>
        </w:tc>
      </w:tr>
    </w:tbl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C2: robustez por ancestralidade PPID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Além da associação direta (socket.pid == service.main_pid), a versão final reconhece processos filhos e netos quando a cadeia PPID observada alcança o MainPID. O finding registra a proveniência como direct_main_pid ou descendant_of_main_pid e, no segundo caso, inclui a cadeia de PIDs usada como evidência. A travessia encerra com segurança em PPID ausente, pai não observado, self-parent ou ciclo. Essa ancestralidade é contexto investigativo, não prova autoritativa de membership systemd.</w:t>
      </w:r>
    </w:p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Estrutura uniforme de Finding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74"/>
        <w:gridCol w:w="5074"/>
      </w:tblGrid>
      <w:tr>
        <w:tc>
          <w:tcPr>
            <w:tcW w:type="dxa" w:w="4988"/>
            <w:tcMar>
              <w:top w:w="100" w:type="dxa"/>
              <w:start w:w="115" w:type="dxa"/>
              <w:bottom w:w="100" w:type="dxa"/>
              <w:end w:w="115" w:type="dxa"/>
            </w:tcMar>
            <w:shd w:fill="F4F7FB"/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>Evidência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Fatos efetivamente observados: PID, UID, unit, caminho, modo, socket, cadeia PPID.</w:t>
            </w:r>
          </w:p>
        </w:tc>
        <w:tc>
          <w:tcPr>
            <w:tcW w:type="dxa" w:w="4988"/>
            <w:tcMar>
              <w:top w:w="100" w:type="dxa"/>
              <w:start w:w="115" w:type="dxa"/>
              <w:bottom w:w="100" w:type="dxa"/>
              <w:end w:w="115" w:type="dxa"/>
            </w:tcMar>
            <w:shd w:fill="F4F7FB"/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>Interpretação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Significado técnico sustentado pelos fatos, sem extrapolar além do observado.</w:t>
            </w:r>
          </w:p>
        </w:tc>
      </w:tr>
      <w:tr>
        <w:tc>
          <w:tcPr>
            <w:tcW w:type="dxa" w:w="4988"/>
            <w:tcMar>
              <w:top w:w="100" w:type="dxa"/>
              <w:start w:w="115" w:type="dxa"/>
              <w:bottom w:w="100" w:type="dxa"/>
              <w:end w:w="115" w:type="dxa"/>
            </w:tcMar>
            <w:shd w:fill="F4F7FB"/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>Hipótese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Explicação possível para a relação encontrada; não é apresentada como fato.</w:t>
            </w:r>
          </w:p>
        </w:tc>
        <w:tc>
          <w:tcPr>
            <w:tcW w:type="dxa" w:w="4988"/>
            <w:tcMar>
              <w:top w:w="100" w:type="dxa"/>
              <w:start w:w="115" w:type="dxa"/>
              <w:bottom w:w="100" w:type="dxa"/>
              <w:end w:w="115" w:type="dxa"/>
            </w:tcMar>
            <w:shd w:fill="F4F7FB"/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>Evidência ausente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7"/>
              </w:rPr>
              <w:t>Dados necessários para confirmar ou rejeitar a hipótese, incluindo limitações de coleta.</w:t>
            </w:r>
          </w:p>
        </w:tc>
      </w:tr>
    </w:tbl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Decisões técnicas relevantes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Permissões são analisadas apenas em recursos relacionados a processos/serviços e no pai imediato; não há varredura global do filesystem.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ExecStart ambíguo não é executado nem “adivinhado”; a lacuna é registrada como issue.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Falhas parciais (AccessDenied, processo encerrado, systemd indisponível, stat falhando) não abortam o snapshot.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Não há banco, daemon, dashboard ou LLM no núcleo; a única dependência de runtime é psutil.</w:t>
      </w:r>
    </w:p>
    <w:p>
      <w:r>
        <w:br w:type="page"/>
      </w:r>
    </w:p>
    <w:p>
      <w:pPr>
        <w:spacing w:before="80" w:after="60"/>
      </w:pPr>
      <w:r>
        <w:rPr>
          <w:rFonts w:ascii="Aptos" w:hAnsi="Aptos"/>
          <w:b/>
          <w:color w:val="17365D"/>
          <w:sz w:val="26"/>
        </w:rPr>
        <w:t>4. Validação e resultados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9"/>
        </w:rPr>
        <w:t>A solução foi validada em testes unitários, testes de correlação, cenários end-to-end e execução real na Kali. A validação final, em 22/09/2026, executou a suíte completa com Python 3.13.12 e pytest 9.1.1: 139 testes coletados e 139 aprovados.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83"/>
        <w:gridCol w:w="3383"/>
        <w:gridCol w:w="3383"/>
      </w:tblGrid>
      <w:tr>
        <w:tc>
          <w:tcPr>
            <w:tcW w:type="dxa" w:w="3231"/>
            <w:tcMar>
              <w:top w:w="90" w:type="dxa"/>
              <w:start w:w="70" w:type="dxa"/>
              <w:bottom w:w="90" w:type="dxa"/>
              <w:end w:w="70" w:type="dxa"/>
            </w:tcMar>
            <w:shd w:fill="EAF1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65D"/>
                <w:sz w:val="26"/>
              </w:rPr>
              <w:t>139 / 139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95959"/>
                <w:sz w:val="16"/>
              </w:rPr>
              <w:t>testes aprovados</w:t>
            </w:r>
          </w:p>
        </w:tc>
        <w:tc>
          <w:tcPr>
            <w:tcW w:type="dxa" w:w="3231"/>
            <w:tcMar>
              <w:top w:w="90" w:type="dxa"/>
              <w:start w:w="70" w:type="dxa"/>
              <w:bottom w:w="90" w:type="dxa"/>
              <w:end w:w="70" w:type="dxa"/>
            </w:tcMar>
            <w:shd w:fill="EAF1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65D"/>
                <w:sz w:val="26"/>
              </w:rPr>
              <w:t>0,72 s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95959"/>
                <w:sz w:val="16"/>
              </w:rPr>
              <w:t>execução da suíte</w:t>
            </w:r>
          </w:p>
        </w:tc>
        <w:tc>
          <w:tcPr>
            <w:tcW w:type="dxa" w:w="3231"/>
            <w:tcMar>
              <w:top w:w="90" w:type="dxa"/>
              <w:start w:w="70" w:type="dxa"/>
              <w:bottom w:w="90" w:type="dxa"/>
              <w:end w:w="70" w:type="dxa"/>
            </w:tcMar>
            <w:shd w:fill="EAF1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65D"/>
                <w:sz w:val="26"/>
              </w:rPr>
              <w:t>main limpa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95959"/>
                <w:sz w:val="16"/>
              </w:rPr>
              <w:t>clone sincronizado com origin/main</w:t>
            </w:r>
          </w:p>
        </w:tc>
      </w:tr>
    </w:tbl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Cenários reproduzíveis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3"/>
        <w:gridCol w:w="3383"/>
        <w:gridCol w:w="3383"/>
      </w:tblGrid>
      <w:tr>
        <w:tc>
          <w:tcPr>
            <w:tcW w:type="dxa" w:w="1814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Cenário</w:t>
            </w:r>
          </w:p>
        </w:tc>
        <w:tc>
          <w:tcPr>
            <w:tcW w:type="dxa" w:w="4932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Evidência principal</w:t>
            </w:r>
          </w:p>
        </w:tc>
        <w:tc>
          <w:tcPr>
            <w:tcW w:type="dxa" w:w="2948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Resultado esperado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6"/>
              </w:rPr>
              <w:t>normal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Serviço UID 0 com recursos 0755/0644 controlados por root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Sem C1; C3 informational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6"/>
              </w:rPr>
              <w:t>unsafe_service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/opt/demo/worker com modo 0777 executado por serviço privilegiado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C1 needs_review + C3 informational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6"/>
              </w:rPr>
              <w:t>listener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Socket 0.0.0.0:8080 no PID 43; cadeia 43 → 42 alcança MainPID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C2 descendant_of_main_pid + dois C3 informational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6"/>
              </w:rPr>
              <w:t>partial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UID, permissões e pai indisponíveis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6"/>
              </w:rPr>
              <w:t>C1/C2/C3 inconclusive</w:t>
            </w:r>
          </w:p>
        </w:tc>
      </w:tr>
    </w:tbl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Execução real na Kali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Um scan manual do host coletou 175 processos, 21 serviços, 1 socket e 101 registros de permissões. O relatório registrou 97 issues de coleta — principalmente campos de executáveis inacessíveis sem privilégios, visibilidade limitada de sockets e ExecStart não resolvido — e produziu 20 findings informational, 0 needs_review e 6 inconclusive. Esse resultado é coerente com o projeto: limitações são preservadas como evidência ausente, e a ausência de um sinal forte não é convertida artificialmente em alerta.</w:t>
      </w:r>
    </w:p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Exemplos observados na validação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C1 (unsafe_service): serviço ativo, MainPID 42, UID 0 e /opt/demo/worker em 0777 → interpretação de escrita direta por não-root → needs_review, sem afirmar exploração.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C2 (listener): socket PID 43 → PPID 42 → demo.service; evidência registra association=descendant_of_main_pid e cadeia 43 → 42 → informational.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C1/C2/C3 (partial): identidade, permissões e pai ausentes → três resultados inconclusive, preservando explicitamente as lacunas.</w:t>
      </w:r>
    </w:p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Reprodutibilidade</w:t>
      </w:r>
    </w:p>
    <w:p>
      <w:pPr>
        <w:spacing w:after="30" w:line="252" w:lineRule="auto"/>
      </w:pPr>
      <w:r>
        <w:rPr>
          <w:rFonts w:ascii="Aptos" w:hAnsi="Aptos"/>
          <w:b w:val="0"/>
          <w:i w:val="0"/>
          <w:sz w:val="17"/>
        </w:rPr>
        <w:t>A análise offline reutiliza as mesmas correlações do scan e não consulta o host. Snapshots reais podem ser salvos em snapshots-local/ (ignorada pelo Git) com modo 0600; a CLI recusa sobrescrita. Isso permite auditar e reanalisar exatamente o mesmo conjunto de evidências.</w:t>
      </w:r>
    </w:p>
    <w:p>
      <w:r>
        <w:br w:type="page"/>
      </w:r>
    </w:p>
    <w:p>
      <w:pPr>
        <w:spacing w:before="80" w:after="60"/>
      </w:pPr>
      <w:r>
        <w:rPr>
          <w:rFonts w:ascii="Aptos" w:hAnsi="Aptos"/>
          <w:b/>
          <w:color w:val="17365D"/>
          <w:sz w:val="26"/>
        </w:rPr>
        <w:t>5. Limitações, uso de IA e conclusão</w:t>
      </w:r>
    </w:p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Limitações conhecidas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Snapshot não atômico: PIDs, arquivos, serviços e sockets podem mudar entre observações; MainPID/PPID não garantem identidade temporal.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Visibilidade depende das permissões e do namespace. Falta de registros ou findings não comprova ausência de atividade ou risco.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Bits POSIX não equivalem a acesso efetivo: ACLs, capabilities, flags de mount, atributos imutáveis, grupos suplementares, symlinks e ancestrais podem alterar a conclusão.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A ancestralidade PPID de C2 é contextual. Cgroups, units .socket, socket activation e PID namespaces/containers não são resolvidos.</w:t>
      </w:r>
    </w:p>
    <w:p>
      <w:pPr>
        <w:pStyle w:val="ListBullet"/>
        <w:spacing w:after="36" w:line="240" w:lineRule="auto"/>
        <w:ind w:left="198" w:hanging="85"/>
      </w:pPr>
      <w:r>
        <w:rPr>
          <w:rFonts w:ascii="Aptos" w:hAnsi="Aptos"/>
          <w:sz w:val="17"/>
        </w:rPr>
        <w:t>ExecStart ambíguo não é expandido; UDP pode representar cliente; firewall, autenticação, intenção de configuração e integridade histórica não são avaliados.</w:t>
      </w:r>
    </w:p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Uso de IA generativa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IA foi utilizada como assistência ao desenvolvimento, revisão e documentação. A ferramenta, porém, não depende de LLM em execução: coleta, normalização, permissões e correlações são mecanismos determinísticos próprios. Essa escolha mantém evidências estruturadas antes de qualquer interpretação e evita que uma resposta probabilística seja a única camada de análise.</w:t>
      </w:r>
    </w:p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Cobertura da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74"/>
        <w:gridCol w:w="5074"/>
      </w:tblGrid>
      <w:tr>
        <w:tc>
          <w:tcPr>
            <w:tcW w:type="dxa" w:w="3401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Critério</w:t>
            </w:r>
          </w:p>
        </w:tc>
        <w:tc>
          <w:tcPr>
            <w:tcW w:type="dxa" w:w="6349"/>
            <w:shd w:fill="D9E2F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6"/>
              </w:rPr>
              <w:t>Evidência demonstrável</w:t>
            </w:r>
          </w:p>
        </w:tc>
      </w:tr>
      <w:tr>
        <w:tc>
          <w:tcPr>
            <w:tcW w:type="dxa" w:w="340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5"/>
              </w:rPr>
              <w:t>Funcionamento (3,0)</w:t>
            </w:r>
          </w:p>
        </w:tc>
        <w:tc>
          <w:tcPr>
            <w:tcW w:type="dxa" w:w="6349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5"/>
              </w:rPr>
              <w:t>CLI scan/analyze, snapshots, texto/JSON, coleta parcial e 139 testes.</w:t>
            </w:r>
          </w:p>
        </w:tc>
      </w:tr>
      <w:tr>
        <w:tc>
          <w:tcPr>
            <w:tcW w:type="dxa" w:w="340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5"/>
              </w:rPr>
              <w:t>Processos, permissões e serviços (2,0)</w:t>
            </w:r>
          </w:p>
        </w:tc>
        <w:tc>
          <w:tcPr>
            <w:tcW w:type="dxa" w:w="6349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5"/>
              </w:rPr>
              <w:t>Coletores dedicados e modelos explícitos para as três dimensões obrigatórias.</w:t>
            </w:r>
          </w:p>
        </w:tc>
      </w:tr>
      <w:tr>
        <w:tc>
          <w:tcPr>
            <w:tcW w:type="dxa" w:w="340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5"/>
              </w:rPr>
              <w:t>Correlação (2,0)</w:t>
            </w:r>
          </w:p>
        </w:tc>
        <w:tc>
          <w:tcPr>
            <w:tcW w:type="dxa" w:w="6349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5"/>
              </w:rPr>
              <w:t>C1, C2 e C3; C2 inclui MainPID direto e ancestralidade PPID.</w:t>
            </w:r>
          </w:p>
        </w:tc>
      </w:tr>
      <w:tr>
        <w:tc>
          <w:tcPr>
            <w:tcW w:type="dxa" w:w="340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5"/>
              </w:rPr>
              <w:t>Qualidade da análise (1,5)</w:t>
            </w:r>
          </w:p>
        </w:tc>
        <w:tc>
          <w:tcPr>
            <w:tcW w:type="dxa" w:w="6349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5"/>
              </w:rPr>
              <w:t>Finding separa evidência, interpretação, hipótese e evidência ausente; suporta inconclusive.</w:t>
            </w:r>
          </w:p>
        </w:tc>
      </w:tr>
      <w:tr>
        <w:tc>
          <w:tcPr>
            <w:tcW w:type="dxa" w:w="340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5"/>
              </w:rPr>
              <w:t>Arquitetura/documentação (1,0)</w:t>
            </w:r>
          </w:p>
        </w:tc>
        <w:tc>
          <w:tcPr>
            <w:tcW w:type="dxa" w:w="6349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5"/>
              </w:rPr>
              <w:t>Módulos pequenos, uma dependência de runtime, README, arquitetura, demo e relatório.</w:t>
            </w:r>
          </w:p>
        </w:tc>
      </w:tr>
      <w:tr>
        <w:tc>
          <w:tcPr>
            <w:tcW w:type="dxa" w:w="340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/>
                <w:i w:val="0"/>
                <w:sz w:val="15"/>
              </w:rPr>
              <w:t>Demonstração/domínio (0,5)</w:t>
            </w:r>
          </w:p>
        </w:tc>
        <w:tc>
          <w:tcPr>
            <w:tcW w:type="dxa" w:w="6349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ptos" w:hAnsi="Aptos"/>
                <w:b w:val="0"/>
                <w:i w:val="0"/>
                <w:sz w:val="15"/>
              </w:rPr>
              <w:t>Quatro fixtures reproduzíveis + scan real na Kali.</w:t>
            </w:r>
          </w:p>
        </w:tc>
      </w:tr>
    </w:tbl>
    <w:p>
      <w:pPr>
        <w:spacing w:before="40" w:after="40"/>
      </w:pPr>
      <w:r>
        <w:rPr>
          <w:rFonts w:ascii="Aptos" w:hAnsi="Aptos"/>
          <w:b/>
          <w:color w:val="365F91"/>
          <w:sz w:val="21"/>
        </w:rPr>
        <w:t>Conclusão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O Endpoint Investigator cumpre o objetivo de observar, coletar, relacionar evidências e formular hipóteses justificáveis em GNU/Linux sem se comportar como antivírus ou EDR completo. A solução privilegia correlações explicáveis e resultados conservadores: relações fortes geram needs_review, contexto legítimo permanece informational e dados insuficientes resultam em inconclusive. O escopo final cobre os requisitos obrigatórios com uma arquitetura pequena, reproduzível e defensável em demonstração.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0148"/>
      </w:tblGrid>
      <w:tr>
        <w:tc>
          <w:tcPr>
            <w:tcW w:type="dxa" w:w="10148"/>
            <w:shd w:fill="F4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7"/>
              </w:rPr>
              <w:t>Comandos essenciais</w:t>
            </w:r>
          </w:p>
          <w:p>
            <w:pPr>
              <w:spacing w:after="10"/>
            </w:pPr>
            <w:r>
              <w:rPr>
                <w:rFonts w:ascii="Liberation Mono" w:hAnsi="Liberation Mono"/>
                <w:sz w:val="15"/>
              </w:rPr>
              <w:t>.venv/bin/python -m endpoint_investigator scan</w:t>
            </w:r>
          </w:p>
          <w:p>
            <w:pPr>
              <w:spacing w:after="10"/>
            </w:pPr>
            <w:r>
              <w:rPr>
                <w:rFonts w:ascii="Liberation Mono" w:hAnsi="Liberation Mono"/>
                <w:sz w:val="15"/>
              </w:rPr>
              <w:t>.venv/bin/python -m endpoint_investigator analyze tests/fixtures/scenario_unsafe_service.json</w:t>
            </w:r>
          </w:p>
          <w:p>
            <w:pPr>
              <w:spacing w:after="10"/>
            </w:pPr>
            <w:r>
              <w:rPr>
                <w:rFonts w:ascii="Liberation Mono" w:hAnsi="Liberation Mono"/>
                <w:sz w:val="15"/>
              </w:rPr>
              <w:t>.venv/bin/python -m endpoint_investigator analyze tests/fixtures/scenario_listener.json</w:t>
            </w:r>
          </w:p>
          <w:p>
            <w:pPr>
              <w:spacing w:after="10"/>
            </w:pPr>
            <w:r>
              <w:rPr>
                <w:rFonts w:ascii="Liberation Mono" w:hAnsi="Liberation Mono"/>
                <w:sz w:val="15"/>
              </w:rPr>
              <w:t>.venv/bin/python -m pytest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7F7F"/>
        <w:sz w:val="15"/>
      </w:rPr>
      <w:t xml:space="preserve">Endpoint Investigator  |  Página </w:t>
    </w:r>
    <w:r>
      <w:rPr>
        <w:rFonts w:ascii="Aptos" w:hAnsi="Aptos"/>
        <w:color w:val="7F7F7F"/>
        <w:sz w:val="15"/>
      </w:rPr>
      <w:fldChar w:fldCharType="begin"/>
      <w:instrText xml:space="preserve">PAGE</w:instrText>
      <w:fldChar w:fldCharType="end"/>
    </w:r>
    <w:r>
      <w:rPr>
        <w:rFonts w:ascii="Aptos" w:hAnsi="Aptos"/>
        <w:color w:val="7F7F7F"/>
        <w:sz w:val="15"/>
      </w:rPr>
      <w:t xml:space="preserve"> de </w:t>
    </w:r>
    <w:r>
      <w:rPr>
        <w:rFonts w:ascii="Aptos" w:hAnsi="Aptos"/>
        <w:color w:val="7F7F7F"/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F7F7F"/>
        <w:sz w:val="15"/>
      </w:rPr>
      <w:t>Tecnologias Hackers  |  Avaliação Intermediária</w:t>
    </w:r>
  </w:p>
</w:hdr>
</file>

<file path=word/numbering.xml><?xml version="1.0" encoding="utf-8"?>
<w:numbering xmlns:w="http://schemas.openxmlformats.org/wordprocessingml/2006/main">
  <w:abstractNum w:abstractNumId="8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8"/>
      </w:rPr>
    </w:rPrDefault>
    <w:pPrDefault/>
  </w:docDefaults>
  <w:style w:type="paragraph" w:default="1" w:styleId="Normal">
    <w:name w:val="Normal"/>
    <w:qFormat/>
    <w:rPr>
      <w:rFonts w:ascii="Aptos" w:hAnsi="Aptos"/>
      <w:sz w:val="18"/>
    </w:rPr>
  </w:style>
  <w:style w:type="character" w:default="1" w:styleId="DefaultParagraphFont">
    <w:name w:val="Default Paragraph Font"/>
  </w:style>
  <w:style w:type="paragraph" w:styleId="ListBullet">
    <w:name w:val="List Bullet"/>
    <w:basedOn w:val="Normal"/>
    <w:pPr>
      <w:numPr>
        <w:numId w:val="1"/>
      </w:numPr>
      <w:contextualSpacing/>
    </w:pPr>
    <w:rPr>
      <w:rFonts w:ascii="Aptos" w:hAnsi="Aptos"/>
      <w:sz w:val="18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Endpoint Investigator — Relatório Técnico Final</dc:title>
  <dc:subject>Avaliação Intermediária de Tecnologias Hackers</dc:subject>
  <dc:creator>python-docx</dc:creator>
  <cp:keywords>GNU/Linux, endpoint, processos, permissões, serviços, correlação, segurança</cp:keywords>
  <dc:description>Documento técnico final gerado a partir da implementação e documentação versionadas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