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B7B20">
      <w:pPr>
        <w:spacing w:before="0" w:after="0" w:line="400" w:lineRule="exact"/>
      </w:pPr>
    </w:p>
    <w:p w14:paraId="37C34D7C">
      <w:pPr>
        <w:jc w:val="center"/>
        <w:rPr>
          <w:rFonts w:hint="eastAsia" w:ascii="宋体" w:hAns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南京航空航天大学</w:t>
      </w:r>
    </w:p>
    <w:p w14:paraId="4885F075">
      <w:pPr>
        <w:spacing w:after="240"/>
        <w:jc w:val="center"/>
        <w:rPr>
          <w:rFonts w:hint="eastAsia" w:ascii="宋体" w:hAnsi="宋体"/>
          <w:spacing w:val="52"/>
          <w:sz w:val="52"/>
          <w:szCs w:val="52"/>
        </w:rPr>
      </w:pPr>
      <w:r>
        <w:rPr>
          <w:rFonts w:hint="eastAsia" w:ascii="宋体" w:hAnsi="宋体"/>
          <w:spacing w:val="52"/>
          <w:sz w:val="52"/>
          <w:szCs w:val="52"/>
        </w:rPr>
        <w:t>大学生创新训练计划项目</w:t>
      </w:r>
    </w:p>
    <w:p w14:paraId="1095C671">
      <w:pPr>
        <w:jc w:val="center"/>
        <w:rPr>
          <w:rFonts w:hint="eastAsia" w:ascii="宋体" w:hAnsi="宋体"/>
          <w:sz w:val="84"/>
          <w:szCs w:val="84"/>
        </w:rPr>
      </w:pPr>
      <w:bookmarkStart w:id="0" w:name="_GoBack"/>
      <w:r>
        <w:rPr>
          <w:rFonts w:hint="eastAsia" w:ascii="宋体" w:hAnsi="宋体"/>
          <w:sz w:val="84"/>
          <w:szCs w:val="84"/>
        </w:rPr>
        <w:t>研究总结报告</w:t>
      </w:r>
    </w:p>
    <w:bookmarkEnd w:id="0"/>
    <w:p w14:paraId="6E665C7A">
      <w:pPr>
        <w:spacing w:line="800" w:lineRule="exact"/>
        <w:rPr>
          <w:rFonts w:hint="eastAsia" w:ascii="宋体" w:hAnsi="宋体"/>
          <w:b/>
          <w:bCs/>
          <w:sz w:val="28"/>
          <w:u w:val="single"/>
        </w:rPr>
      </w:pPr>
    </w:p>
    <w:tbl>
      <w:tblPr>
        <w:tblStyle w:val="3"/>
        <w:tblW w:w="74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2623"/>
        <w:gridCol w:w="3047"/>
      </w:tblGrid>
      <w:tr w14:paraId="5F22C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65BC5193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项目名称：</w:t>
            </w:r>
          </w:p>
        </w:tc>
        <w:tc>
          <w:tcPr>
            <w:tcW w:w="5670" w:type="dxa"/>
            <w:gridSpan w:val="2"/>
            <w:noWrap w:val="0"/>
            <w:vAlign w:val="center"/>
          </w:tcPr>
          <w:p w14:paraId="68F63417">
            <w:pPr>
              <w:jc w:val="center"/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基于机器学习的中介机匣快速优化设计方法研究</w:t>
            </w:r>
          </w:p>
        </w:tc>
      </w:tr>
      <w:tr w14:paraId="2A8A5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2E441046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</w:rPr>
              <w:t>项目负责人：</w:t>
            </w:r>
          </w:p>
        </w:tc>
        <w:tc>
          <w:tcPr>
            <w:tcW w:w="2623" w:type="dxa"/>
            <w:noWrap w:val="0"/>
            <w:vAlign w:val="center"/>
          </w:tcPr>
          <w:p w14:paraId="0C25B5EC">
            <w:pPr>
              <w:rPr>
                <w:rFonts w:hint="eastAsia" w:ascii="宋体" w:hAnsi="宋体" w:eastAsia="宋体"/>
                <w:bCs/>
                <w:sz w:val="28"/>
                <w:lang w:val="en-US" w:eastAsia="zh-CN"/>
              </w:rPr>
            </w:pPr>
            <w:r>
              <w:rPr>
                <w:rFonts w:hint="eastAsia"/>
                <w:bCs/>
                <w:sz w:val="28"/>
                <w:lang w:val="en-US" w:eastAsia="zh-CN"/>
              </w:rPr>
              <w:t>刘宇轩</w:t>
            </w:r>
          </w:p>
        </w:tc>
        <w:tc>
          <w:tcPr>
            <w:tcW w:w="3047" w:type="dxa"/>
            <w:noWrap w:val="0"/>
            <w:vAlign w:val="center"/>
          </w:tcPr>
          <w:p w14:paraId="782ABA5C">
            <w:pPr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学号：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182310109</w:t>
            </w:r>
          </w:p>
        </w:tc>
      </w:tr>
      <w:tr w14:paraId="497F3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38377320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</w:rPr>
              <w:t>项目成员：</w:t>
            </w:r>
          </w:p>
        </w:tc>
        <w:tc>
          <w:tcPr>
            <w:tcW w:w="2623" w:type="dxa"/>
            <w:noWrap w:val="0"/>
            <w:vAlign w:val="center"/>
          </w:tcPr>
          <w:p w14:paraId="2C8D423F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念毅</w:t>
            </w:r>
          </w:p>
        </w:tc>
        <w:tc>
          <w:tcPr>
            <w:tcW w:w="3047" w:type="dxa"/>
            <w:noWrap w:val="0"/>
            <w:vAlign w:val="center"/>
          </w:tcPr>
          <w:p w14:paraId="53331147">
            <w:pPr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学号：</w:t>
            </w: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182310129</w:t>
            </w:r>
          </w:p>
        </w:tc>
      </w:tr>
      <w:tr w14:paraId="2ACE7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0E69E1E0">
            <w:pPr>
              <w:rPr>
                <w:rFonts w:hint="eastAsia" w:ascii="宋体" w:hAnsi="宋体"/>
                <w:bCs/>
                <w:sz w:val="28"/>
              </w:rPr>
            </w:pPr>
          </w:p>
        </w:tc>
        <w:tc>
          <w:tcPr>
            <w:tcW w:w="2623" w:type="dxa"/>
            <w:noWrap w:val="0"/>
            <w:vAlign w:val="center"/>
          </w:tcPr>
          <w:p w14:paraId="4FF4AD56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王恒</w:t>
            </w:r>
          </w:p>
        </w:tc>
        <w:tc>
          <w:tcPr>
            <w:tcW w:w="3047" w:type="dxa"/>
            <w:noWrap w:val="0"/>
            <w:vAlign w:val="center"/>
          </w:tcPr>
          <w:p w14:paraId="32BA99EB">
            <w:pPr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学号：</w:t>
            </w: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182310112</w:t>
            </w:r>
          </w:p>
        </w:tc>
      </w:tr>
      <w:tr w14:paraId="1C3B3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6FF05FDB">
            <w:pPr>
              <w:rPr>
                <w:rFonts w:hint="eastAsia" w:ascii="宋体" w:hAnsi="宋体"/>
                <w:bCs/>
                <w:sz w:val="28"/>
              </w:rPr>
            </w:pPr>
          </w:p>
        </w:tc>
        <w:tc>
          <w:tcPr>
            <w:tcW w:w="2623" w:type="dxa"/>
            <w:noWrap w:val="0"/>
            <w:vAlign w:val="center"/>
          </w:tcPr>
          <w:p w14:paraId="28ED0EAD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李鑫</w:t>
            </w:r>
          </w:p>
        </w:tc>
        <w:tc>
          <w:tcPr>
            <w:tcW w:w="3047" w:type="dxa"/>
            <w:noWrap w:val="0"/>
            <w:vAlign w:val="center"/>
          </w:tcPr>
          <w:p w14:paraId="6237D2A7">
            <w:pPr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学号：</w:t>
            </w: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182312802</w:t>
            </w:r>
          </w:p>
        </w:tc>
      </w:tr>
      <w:tr w14:paraId="5B14D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2C3D45EB">
            <w:pPr>
              <w:rPr>
                <w:rFonts w:hint="eastAsia" w:ascii="宋体" w:hAnsi="宋体"/>
                <w:bCs/>
                <w:sz w:val="28"/>
              </w:rPr>
            </w:pPr>
          </w:p>
        </w:tc>
        <w:tc>
          <w:tcPr>
            <w:tcW w:w="2623" w:type="dxa"/>
            <w:noWrap w:val="0"/>
            <w:vAlign w:val="center"/>
          </w:tcPr>
          <w:p w14:paraId="648DDE22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齐展滨</w:t>
            </w:r>
          </w:p>
        </w:tc>
        <w:tc>
          <w:tcPr>
            <w:tcW w:w="3047" w:type="dxa"/>
            <w:noWrap w:val="0"/>
            <w:vAlign w:val="center"/>
          </w:tcPr>
          <w:p w14:paraId="0827928E">
            <w:pPr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学号：</w:t>
            </w: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052350210</w:t>
            </w:r>
          </w:p>
        </w:tc>
      </w:tr>
      <w:tr w14:paraId="23845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1AC25176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</w:rPr>
              <w:t>指导教师：</w:t>
            </w:r>
          </w:p>
        </w:tc>
        <w:tc>
          <w:tcPr>
            <w:tcW w:w="2623" w:type="dxa"/>
            <w:noWrap w:val="0"/>
            <w:vAlign w:val="center"/>
          </w:tcPr>
          <w:p w14:paraId="5A4DCE0E">
            <w:pPr>
              <w:rPr>
                <w:rFonts w:hint="default" w:ascii="宋体" w:hAnsi="宋体" w:eastAsia="宋体"/>
                <w:bCs/>
                <w:sz w:val="28"/>
                <w:lang w:val="en-US" w:eastAsia="zh-CN"/>
              </w:rPr>
            </w:pPr>
            <w:r>
              <w:rPr>
                <w:rFonts w:hint="eastAsia"/>
                <w:bCs/>
                <w:sz w:val="28"/>
                <w:lang w:val="en-US" w:eastAsia="zh-CN"/>
              </w:rPr>
              <w:t>吴志荣</w:t>
            </w:r>
          </w:p>
        </w:tc>
        <w:tc>
          <w:tcPr>
            <w:tcW w:w="3047" w:type="dxa"/>
            <w:noWrap w:val="0"/>
            <w:vAlign w:val="center"/>
          </w:tcPr>
          <w:p w14:paraId="25D3AFE6">
            <w:pPr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单位：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能源与动力学院</w:t>
            </w:r>
          </w:p>
        </w:tc>
      </w:tr>
      <w:tr w14:paraId="5C666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16" w:type="dxa"/>
            <w:noWrap w:val="0"/>
            <w:vAlign w:val="center"/>
          </w:tcPr>
          <w:p w14:paraId="46F8454D">
            <w:pPr>
              <w:rPr>
                <w:rFonts w:hint="eastAsia" w:ascii="宋体" w:hAnsi="宋体"/>
                <w:bCs/>
                <w:sz w:val="28"/>
              </w:rPr>
            </w:pPr>
            <w:r>
              <w:rPr>
                <w:rFonts w:hint="eastAsia" w:ascii="宋体" w:hAnsi="宋体"/>
                <w:bCs/>
                <w:sz w:val="28"/>
              </w:rPr>
              <w:t>研究时间：</w:t>
            </w:r>
          </w:p>
        </w:tc>
        <w:tc>
          <w:tcPr>
            <w:tcW w:w="5670" w:type="dxa"/>
            <w:gridSpan w:val="2"/>
            <w:noWrap w:val="0"/>
            <w:vAlign w:val="center"/>
          </w:tcPr>
          <w:p w14:paraId="3DF60040">
            <w:pPr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</w:rPr>
              <w:t>20</w:t>
            </w: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25</w:t>
            </w:r>
            <w:r>
              <w:rPr>
                <w:rFonts w:hint="eastAsia" w:ascii="宋体" w:hAnsi="宋体"/>
                <w:bCs/>
                <w:sz w:val="28"/>
              </w:rPr>
              <w:t>年0</w:t>
            </w: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4</w:t>
            </w:r>
            <w:r>
              <w:rPr>
                <w:rFonts w:hint="eastAsia" w:ascii="宋体" w:hAnsi="宋体"/>
                <w:bCs/>
                <w:sz w:val="28"/>
              </w:rPr>
              <w:t>月～ 20</w:t>
            </w:r>
            <w:r>
              <w:rPr>
                <w:rFonts w:hint="eastAsia" w:ascii="宋体" w:hAnsi="宋体"/>
                <w:bCs/>
                <w:sz w:val="28"/>
                <w:lang w:val="en-US" w:eastAsia="zh-CN"/>
              </w:rPr>
              <w:t>26</w:t>
            </w:r>
            <w:r>
              <w:rPr>
                <w:rFonts w:hint="eastAsia" w:ascii="宋体" w:hAnsi="宋体"/>
                <w:bCs/>
                <w:sz w:val="28"/>
              </w:rPr>
              <w:t>年04月</w:t>
            </w:r>
          </w:p>
        </w:tc>
      </w:tr>
    </w:tbl>
    <w:p w14:paraId="564957B1">
      <w:pPr>
        <w:spacing w:line="440" w:lineRule="exact"/>
        <w:rPr>
          <w:rFonts w:hint="eastAsia" w:ascii="宋体" w:hAnsi="宋体"/>
          <w:b/>
          <w:bCs/>
          <w:sz w:val="24"/>
        </w:rPr>
      </w:pPr>
    </w:p>
    <w:p w14:paraId="6D2CEBD0">
      <w:pPr>
        <w:spacing w:line="440" w:lineRule="exact"/>
        <w:rPr>
          <w:rFonts w:hint="eastAsia" w:ascii="宋体" w:hAnsi="宋体"/>
          <w:b/>
          <w:bCs/>
          <w:sz w:val="36"/>
        </w:rPr>
      </w:pPr>
    </w:p>
    <w:p w14:paraId="1885D3A5">
      <w:pPr>
        <w:spacing w:line="440" w:lineRule="exact"/>
        <w:jc w:val="center"/>
        <w:rPr>
          <w:rFonts w:hint="eastAsia" w:ascii="宋体" w:hAnsi="宋体"/>
          <w:b/>
          <w:bCs/>
          <w:sz w:val="36"/>
        </w:rPr>
      </w:pPr>
    </w:p>
    <w:p w14:paraId="76BE6DC3">
      <w:pPr>
        <w:spacing w:line="440" w:lineRule="exact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南京航空航天大学 教务处制</w:t>
      </w:r>
    </w:p>
    <w:p w14:paraId="37F8A856">
      <w:pPr>
        <w:spacing w:line="440" w:lineRule="exact"/>
        <w:jc w:val="center"/>
        <w:rPr>
          <w:rFonts w:hint="eastAsia" w:ascii="宋体" w:hAnsi="宋体"/>
          <w:sz w:val="32"/>
          <w:szCs w:val="32"/>
        </w:rPr>
      </w:pPr>
      <w:r>
        <w:br w:type="page"/>
      </w:r>
      <w:r>
        <w:rPr>
          <w:rFonts w:hint="eastAsia" w:ascii="宋体" w:hAnsi="宋体"/>
          <w:sz w:val="32"/>
          <w:szCs w:val="32"/>
        </w:rPr>
        <w:t>大学生创新训练计划项目研究总结报告</w:t>
      </w:r>
    </w:p>
    <w:p w14:paraId="3B8E2295">
      <w:pPr>
        <w:ind w:firstLine="640" w:firstLineChars="200"/>
        <w:jc w:val="center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撰写要求</w:t>
      </w:r>
    </w:p>
    <w:p w14:paraId="465782AD">
      <w:pPr>
        <w:spacing w:line="360" w:lineRule="auto"/>
        <w:ind w:firstLine="420" w:firstLineChars="200"/>
        <w:jc w:val="center"/>
        <w:rPr>
          <w:rFonts w:hint="eastAsia" w:ascii="宋体" w:hAnsi="宋体"/>
          <w:szCs w:val="21"/>
        </w:rPr>
      </w:pPr>
    </w:p>
    <w:p w14:paraId="771D61FE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1.研究总结报告主要包括项目的研究意义及价值、具体项目研究过程（包括研究内容与方法）、结论和成果、项目的特色或创新点、应用前景、收获和体会、尚存在的问题及进一步研究的设想等内容。</w:t>
      </w:r>
    </w:p>
    <w:p w14:paraId="7421D0C1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2.研究总结报告正文格式：首行缩进2个字符，五号宋体，固定行间距20磅。</w:t>
      </w:r>
    </w:p>
    <w:p w14:paraId="3AB75276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3.研究总结报告字数不低于5000字。</w:t>
      </w:r>
    </w:p>
    <w:p w14:paraId="390D7C77">
      <w:pPr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</w:t>
      </w:r>
      <w:r>
        <w:rPr>
          <w:rFonts w:hint="eastAsia" w:ascii="宋体" w:hAnsi="宋体"/>
          <w:bCs/>
          <w:sz w:val="24"/>
          <w:szCs w:val="24"/>
        </w:rPr>
        <w:t>论文中采用的术语、符号、代号全文必须统一，并符合规范化的要求。论文中使用新的专业术语、缩略语、习惯用语，要加以注释。国外新的专业术语、缩略语，必须在译文后用圆括号注明原文。</w:t>
      </w:r>
    </w:p>
    <w:p w14:paraId="07BF62EA">
      <w:pPr>
        <w:adjustRightInd w:val="0"/>
        <w:snapToGrid w:val="0"/>
        <w:spacing w:line="360" w:lineRule="auto"/>
        <w:ind w:firstLine="48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bCs/>
          <w:sz w:val="24"/>
          <w:szCs w:val="24"/>
        </w:rPr>
        <w:t>、图、表要有自明性，即只要看图和图题而不阅读正文，就可理解图意。图位于文中表述之后，编号由“图”和阿拉伯数字组成，阿拉伯数字由前后两部分组成，中间用“.”号分开，前部分数字表示图所在章的序号，后部分数字表示图在该章的序号，例如“图1.10”、“图2.15”，图题置于图的编号之后，图的编号和图题要置于图下方的居中位置；表的编号方法同图的编号方法相同，例如“表1.6”、“表2.3”，表的编号和表题要置于表上方的居中位置，如某个表需要转页接排，在随后的各页上要重复表的编号，编号后跟表题(可省略)或跟“(续)”，如表1.2(续)。续表均要重复表的编排。</w:t>
      </w:r>
    </w:p>
    <w:p w14:paraId="0EE87C8F">
      <w:pPr>
        <w:sectPr>
          <w:pgSz w:w="11906" w:h="16838"/>
          <w:pgMar w:top="1440" w:right="1440" w:bottom="1440" w:left="1440" w:header="851" w:footer="992" w:gutter="0"/>
          <w:cols w:space="425" w:num="1"/>
          <w:docGrid w:linePitch="312" w:charSpace="0"/>
        </w:sectPr>
      </w:pPr>
    </w:p>
    <w:p w14:paraId="788EC59B"/>
    <w:p w14:paraId="094618A7">
      <w:pPr>
        <w:spacing w:before="0" w:after="0" w:line="400" w:lineRule="exact"/>
        <w:jc w:val="center"/>
      </w:pPr>
      <w:r>
        <w:rPr>
          <w:rFonts w:ascii="黑体" w:hAnsi="黑体" w:eastAsia="黑体"/>
          <w:b/>
          <w:sz w:val="28"/>
          <w:szCs w:val="28"/>
        </w:rPr>
        <w:t>目录</w:t>
      </w:r>
    </w:p>
    <w:p w14:paraId="0F9902AF">
      <w:pPr>
        <w:tabs>
          <w:tab w:val="right" w:leader="dot" w:pos="9000"/>
        </w:tabs>
        <w:spacing w:before="0" w:after="0" w:line="360" w:lineRule="exact"/>
        <w:ind w:left="0"/>
      </w:pPr>
      <w:r>
        <w:rPr>
          <w:rFonts w:ascii="宋体" w:hAnsi="宋体" w:eastAsia="宋体"/>
          <w:sz w:val="22"/>
          <w:szCs w:val="22"/>
        </w:rPr>
        <w:t>一、研究意义</w:t>
      </w:r>
      <w:r>
        <w:tab/>
      </w:r>
      <w:r>
        <w:rPr>
          <w:rFonts w:ascii="宋体" w:hAnsi="宋体" w:eastAsia="宋体"/>
          <w:sz w:val="22"/>
          <w:szCs w:val="22"/>
        </w:rPr>
        <w:t>1</w:t>
      </w:r>
    </w:p>
    <w:p w14:paraId="19AA3F44">
      <w:pPr>
        <w:tabs>
          <w:tab w:val="right" w:leader="dot" w:pos="9000"/>
        </w:tabs>
        <w:spacing w:before="0" w:after="0" w:line="360" w:lineRule="exact"/>
        <w:ind w:left="420"/>
      </w:pPr>
      <w:r>
        <w:rPr>
          <w:rFonts w:ascii="宋体" w:hAnsi="宋体" w:eastAsia="宋体"/>
          <w:sz w:val="22"/>
          <w:szCs w:val="22"/>
        </w:rPr>
        <w:t>1.1 项目背景与研究价值</w:t>
      </w:r>
      <w:r>
        <w:tab/>
      </w:r>
      <w:r>
        <w:rPr>
          <w:rFonts w:ascii="宋体" w:hAnsi="宋体" w:eastAsia="宋体"/>
          <w:sz w:val="22"/>
          <w:szCs w:val="22"/>
        </w:rPr>
        <w:t>1</w:t>
      </w:r>
    </w:p>
    <w:p w14:paraId="48264963">
      <w:pPr>
        <w:tabs>
          <w:tab w:val="right" w:leader="dot" w:pos="9000"/>
        </w:tabs>
        <w:spacing w:before="0" w:after="0" w:line="360" w:lineRule="exact"/>
        <w:ind w:left="0"/>
      </w:pPr>
      <w:r>
        <w:rPr>
          <w:rFonts w:ascii="宋体" w:hAnsi="宋体" w:eastAsia="宋体"/>
          <w:sz w:val="22"/>
          <w:szCs w:val="22"/>
        </w:rPr>
        <w:t>二、项目研究过程</w:t>
      </w:r>
      <w:r>
        <w:tab/>
      </w:r>
      <w:r>
        <w:rPr>
          <w:rFonts w:ascii="宋体" w:hAnsi="宋体" w:eastAsia="宋体"/>
          <w:sz w:val="22"/>
          <w:szCs w:val="22"/>
        </w:rPr>
        <w:t>2</w:t>
      </w:r>
    </w:p>
    <w:p w14:paraId="215B350A">
      <w:pPr>
        <w:tabs>
          <w:tab w:val="right" w:leader="dot" w:pos="9000"/>
        </w:tabs>
        <w:spacing w:before="0" w:after="0" w:line="360" w:lineRule="exact"/>
        <w:ind w:left="420"/>
      </w:pPr>
      <w:r>
        <w:rPr>
          <w:rFonts w:ascii="宋体" w:hAnsi="宋体" w:eastAsia="宋体"/>
          <w:sz w:val="22"/>
          <w:szCs w:val="22"/>
        </w:rPr>
        <w:t>2.1 研究内容与方法</w:t>
      </w:r>
      <w:r>
        <w:tab/>
      </w:r>
      <w:r>
        <w:rPr>
          <w:rFonts w:ascii="宋体" w:hAnsi="宋体" w:eastAsia="宋体"/>
          <w:sz w:val="22"/>
          <w:szCs w:val="22"/>
        </w:rPr>
        <w:t>2</w:t>
      </w:r>
    </w:p>
    <w:p w14:paraId="4A1F7D8E">
      <w:pPr>
        <w:tabs>
          <w:tab w:val="right" w:leader="dot" w:pos="9000"/>
        </w:tabs>
        <w:spacing w:before="0" w:after="0" w:line="360" w:lineRule="exact"/>
        <w:ind w:left="42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  <w:szCs w:val="22"/>
        </w:rPr>
        <w:t>2.2 主要研究结果</w:t>
      </w:r>
      <w:r>
        <w:tab/>
      </w:r>
      <w:r>
        <w:rPr>
          <w:rFonts w:hint="eastAsia"/>
          <w:lang w:val="en-US" w:eastAsia="zh-CN"/>
        </w:rPr>
        <w:t>20</w:t>
      </w:r>
    </w:p>
    <w:p w14:paraId="530BB9CE">
      <w:pPr>
        <w:tabs>
          <w:tab w:val="right" w:leader="dot" w:pos="9000"/>
        </w:tabs>
        <w:spacing w:before="0" w:after="0" w:line="360" w:lineRule="exact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  <w:szCs w:val="22"/>
        </w:rPr>
        <w:t>三、项目创新点</w:t>
      </w:r>
      <w:r>
        <w:tab/>
      </w:r>
      <w:r>
        <w:rPr>
          <w:rFonts w:hint="eastAsia"/>
          <w:lang w:val="en-US" w:eastAsia="zh-CN"/>
        </w:rPr>
        <w:t>20</w:t>
      </w:r>
    </w:p>
    <w:p w14:paraId="3525D41B">
      <w:pPr>
        <w:tabs>
          <w:tab w:val="right" w:leader="dot" w:pos="9000"/>
        </w:tabs>
        <w:spacing w:before="0" w:after="0" w:line="360" w:lineRule="exact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  <w:szCs w:val="22"/>
        </w:rPr>
        <w:t>四、应用前景</w:t>
      </w:r>
      <w:r>
        <w:tab/>
      </w:r>
      <w:r>
        <w:rPr>
          <w:rFonts w:hint="eastAsia"/>
          <w:lang w:val="en-US" w:eastAsia="zh-CN"/>
        </w:rPr>
        <w:t>21</w:t>
      </w:r>
    </w:p>
    <w:p w14:paraId="56AFAC48">
      <w:pPr>
        <w:tabs>
          <w:tab w:val="right" w:leader="dot" w:pos="9000"/>
        </w:tabs>
        <w:spacing w:before="0" w:after="0" w:line="360" w:lineRule="exact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  <w:szCs w:val="22"/>
        </w:rPr>
        <w:t>五、收获和体会</w:t>
      </w:r>
      <w:r>
        <w:tab/>
      </w:r>
      <w:r>
        <w:rPr>
          <w:rFonts w:hint="eastAsia"/>
          <w:lang w:val="en-US" w:eastAsia="zh-CN"/>
        </w:rPr>
        <w:t>21</w:t>
      </w:r>
    </w:p>
    <w:p w14:paraId="5E40A271">
      <w:pPr>
        <w:tabs>
          <w:tab w:val="right" w:leader="dot" w:pos="9000"/>
        </w:tabs>
        <w:spacing w:before="0" w:after="0" w:line="360" w:lineRule="exact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  <w:szCs w:val="22"/>
        </w:rPr>
        <w:t>六、展望</w:t>
      </w:r>
      <w:r>
        <w:tab/>
      </w:r>
      <w:r>
        <w:rPr>
          <w:rFonts w:hint="eastAsia"/>
          <w:lang w:val="en-US" w:eastAsia="zh-CN"/>
        </w:rPr>
        <w:t>22</w:t>
      </w:r>
    </w:p>
    <w:p w14:paraId="672DD73E">
      <w:r>
        <w:br w:type="page"/>
      </w:r>
    </w:p>
    <w:p w14:paraId="32BDFA2A">
      <w:pPr>
        <w:spacing w:before="200" w:after="120" w:line="400" w:lineRule="exact"/>
        <w:jc w:val="left"/>
      </w:pPr>
      <w:r>
        <w:rPr>
          <w:rFonts w:ascii="黑体" w:hAnsi="黑体" w:eastAsia="黑体"/>
          <w:b/>
          <w:sz w:val="28"/>
          <w:szCs w:val="28"/>
        </w:rPr>
        <w:t>一、研究意义</w:t>
      </w:r>
    </w:p>
    <w:p w14:paraId="2BE2D604">
      <w:pPr>
        <w:spacing w:before="120" w:after="60" w:line="400" w:lineRule="exact"/>
        <w:jc w:val="left"/>
      </w:pPr>
      <w:r>
        <w:rPr>
          <w:rFonts w:ascii="黑体" w:hAnsi="黑体" w:eastAsia="黑体"/>
          <w:b/>
          <w:sz w:val="24"/>
          <w:szCs w:val="24"/>
        </w:rPr>
        <w:t>1.1 项目背景与研究价值</w:t>
      </w:r>
    </w:p>
    <w:p w14:paraId="50288481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中介机匣是航空发动机的重要承力部件，兼具连接支承和气流通道成形功能，其结构安全、安装可靠性和轻量化水平会直接影响发动机性能。该结构呈现薄壁回转件与支板承力框架耦合的特点，常同时面临高承载、低变形和轻质量等多重约束。当刚度不足时，容易出现较大变形、装配偏差和局部应力集中；若单纯依赖增厚补强，又会带来质量上升和设计效率下降。</w:t>
      </w:r>
    </w:p>
    <w:p w14:paraId="03FF4533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围绕这一问题，项目形成了“初始有限元分析、参数化建模、数据库构建、代理预测、多目标优化、软件封装”的完整研究路线，目标是在保证强度与刚度要求的前提下，提高结构优化效率并形成可复用的设计工具。</w:t>
      </w:r>
    </w:p>
    <w:p w14:paraId="0A2D104A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从研究组织上看，本项目并未将有限元分析、代理建模和优化算法割裂处理，而是把三者放在同一技术链条中连续推进。这样既保证了前期分析结论能够直接服务于后续建模与优化，也保证了优化结果能够回到有限元层面完成工程校核。</w:t>
      </w:r>
    </w:p>
    <w:p w14:paraId="16A6E00B">
      <w:pPr>
        <w:spacing w:before="120" w:after="120" w:line="240" w:lineRule="auto"/>
        <w:jc w:val="center"/>
      </w:pPr>
      <w:r>
        <w:drawing>
          <wp:inline distT="0" distB="0" distL="0" distR="0">
            <wp:extent cx="5399405" cy="52800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294B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 中介机匣模型</w:t>
      </w:r>
    </w:p>
    <w:p w14:paraId="32E689A6">
      <w:pPr>
        <w:spacing w:before="200" w:after="120" w:line="400" w:lineRule="exact"/>
        <w:jc w:val="left"/>
      </w:pPr>
      <w:r>
        <w:rPr>
          <w:rFonts w:ascii="黑体" w:hAnsi="黑体" w:eastAsia="黑体"/>
          <w:b/>
          <w:sz w:val="28"/>
          <w:szCs w:val="28"/>
        </w:rPr>
        <w:t>二、项目研究过程</w:t>
      </w:r>
    </w:p>
    <w:p w14:paraId="49FCBA30">
      <w:pPr>
        <w:spacing w:before="120" w:after="60" w:line="400" w:lineRule="exact"/>
        <w:jc w:val="left"/>
      </w:pPr>
      <w:r>
        <w:rPr>
          <w:rFonts w:ascii="黑体" w:hAnsi="黑体" w:eastAsia="黑体"/>
          <w:b/>
          <w:sz w:val="24"/>
          <w:szCs w:val="24"/>
        </w:rPr>
        <w:t>2.1 研究内容与方法</w:t>
      </w:r>
    </w:p>
    <w:p w14:paraId="195277A5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研究首先以中介机匣初始结构为对象建立三维有限元分析模型，用于识别刚度不足的主要来源。初始方案中，内机匣厚度取 3 mm，分流环厚度取 3.5 mm，外机匣厚度取 4 mm，支板厚度取 2.5 mm，材料选用 Ti65。载荷方面，综合考虑典型受力工况，在模型中施加 H 向载荷 -1956 N、V 向载荷 141502 N 及扭矩 19947 N·m、M 向载荷 -237014 N 及扭矩 -22640 N·m、F 向载荷 -45516 N；约束方面，在外机匣侧主安装节位置约束 X、Z 方向位移，在上方板区约束 Y 方向位移，从而较为真实地反映结构安装和承载边界。</w:t>
      </w:r>
    </w:p>
    <w:tbl>
      <w:tblPr>
        <w:tblStyle w:val="3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400"/>
        <w:gridCol w:w="3300"/>
      </w:tblGrid>
      <w:tr w14:paraId="71129D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43F5BE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类别</w:t>
            </w:r>
          </w:p>
        </w:tc>
        <w:tc>
          <w:tcPr>
            <w:tcW w:w="3400" w:type="dxa"/>
            <w:vAlign w:val="center"/>
          </w:tcPr>
          <w:p w14:paraId="52D2CA0C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参数或工况</w:t>
            </w:r>
          </w:p>
        </w:tc>
        <w:tc>
          <w:tcPr>
            <w:tcW w:w="3300" w:type="dxa"/>
            <w:vAlign w:val="center"/>
          </w:tcPr>
          <w:p w14:paraId="033A3C3C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6048D9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3D6C1BF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材料</w:t>
            </w:r>
          </w:p>
        </w:tc>
        <w:tc>
          <w:tcPr>
            <w:tcW w:w="3400" w:type="dxa"/>
            <w:vAlign w:val="center"/>
          </w:tcPr>
          <w:p w14:paraId="2C3BCFC8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Ti65</w:t>
            </w:r>
          </w:p>
        </w:tc>
        <w:tc>
          <w:tcPr>
            <w:tcW w:w="3300" w:type="dxa"/>
            <w:vAlign w:val="center"/>
          </w:tcPr>
          <w:p w14:paraId="36514DFC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用于中介机匣主体有限元分析</w:t>
            </w:r>
          </w:p>
        </w:tc>
      </w:tr>
      <w:tr w14:paraId="2CE867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6635453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初始厚度</w:t>
            </w:r>
          </w:p>
        </w:tc>
        <w:tc>
          <w:tcPr>
            <w:tcW w:w="3400" w:type="dxa"/>
            <w:vAlign w:val="center"/>
          </w:tcPr>
          <w:p w14:paraId="492385E7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内机匣 3 mm / 分流环 3.5 mm / 外机匣 4 mm / 支板 2.5 mm</w:t>
            </w:r>
          </w:p>
        </w:tc>
        <w:tc>
          <w:tcPr>
            <w:tcW w:w="3300" w:type="dxa"/>
            <w:vAlign w:val="center"/>
          </w:tcPr>
          <w:p w14:paraId="22F28168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作为基准分析方案</w:t>
            </w:r>
          </w:p>
        </w:tc>
      </w:tr>
      <w:tr w14:paraId="7DCC4C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1A039C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载荷 H</w:t>
            </w:r>
          </w:p>
        </w:tc>
        <w:tc>
          <w:tcPr>
            <w:tcW w:w="3400" w:type="dxa"/>
            <w:vAlign w:val="center"/>
          </w:tcPr>
          <w:p w14:paraId="0116FA83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-1956 N</w:t>
            </w:r>
          </w:p>
        </w:tc>
        <w:tc>
          <w:tcPr>
            <w:tcW w:w="3300" w:type="dxa"/>
            <w:vAlign w:val="center"/>
          </w:tcPr>
          <w:p w14:paraId="3FF0F18A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反映典型横向受力</w:t>
            </w:r>
          </w:p>
        </w:tc>
      </w:tr>
      <w:tr w14:paraId="463D84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E3CB0B7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载荷 V</w:t>
            </w:r>
          </w:p>
        </w:tc>
        <w:tc>
          <w:tcPr>
            <w:tcW w:w="3400" w:type="dxa"/>
            <w:vAlign w:val="center"/>
          </w:tcPr>
          <w:p w14:paraId="7BD157C8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141502 N，扭矩 19947 N·m</w:t>
            </w:r>
          </w:p>
        </w:tc>
        <w:tc>
          <w:tcPr>
            <w:tcW w:w="3300" w:type="dxa"/>
            <w:vAlign w:val="center"/>
          </w:tcPr>
          <w:p w14:paraId="249D912E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反映主要承力方向组合工况</w:t>
            </w:r>
          </w:p>
        </w:tc>
      </w:tr>
      <w:tr w14:paraId="440167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C1E3C2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载荷 M</w:t>
            </w:r>
          </w:p>
        </w:tc>
        <w:tc>
          <w:tcPr>
            <w:tcW w:w="3400" w:type="dxa"/>
            <w:vAlign w:val="center"/>
          </w:tcPr>
          <w:p w14:paraId="7DDF370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-237014 N，扭矩 -22640 N·m</w:t>
            </w:r>
          </w:p>
        </w:tc>
        <w:tc>
          <w:tcPr>
            <w:tcW w:w="3300" w:type="dxa"/>
            <w:vAlign w:val="center"/>
          </w:tcPr>
          <w:p w14:paraId="2DCE8E4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反映另一组安装受力耦合</w:t>
            </w:r>
          </w:p>
        </w:tc>
      </w:tr>
      <w:tr w14:paraId="32F81D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7B6198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载荷 F</w:t>
            </w:r>
          </w:p>
        </w:tc>
        <w:tc>
          <w:tcPr>
            <w:tcW w:w="3400" w:type="dxa"/>
            <w:vAlign w:val="center"/>
          </w:tcPr>
          <w:p w14:paraId="5C781D7D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-45516 N</w:t>
            </w:r>
          </w:p>
        </w:tc>
        <w:tc>
          <w:tcPr>
            <w:tcW w:w="3300" w:type="dxa"/>
            <w:vAlign w:val="center"/>
          </w:tcPr>
          <w:p w14:paraId="47595A8D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补充附加载荷影响</w:t>
            </w:r>
          </w:p>
        </w:tc>
      </w:tr>
      <w:tr w14:paraId="58F071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6EA2202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约束 1</w:t>
            </w:r>
          </w:p>
        </w:tc>
        <w:tc>
          <w:tcPr>
            <w:tcW w:w="3400" w:type="dxa"/>
            <w:vAlign w:val="center"/>
          </w:tcPr>
          <w:p w14:paraId="3FF163F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外机匣侧主安装节约束 X、Z</w:t>
            </w:r>
          </w:p>
        </w:tc>
        <w:tc>
          <w:tcPr>
            <w:tcW w:w="3300" w:type="dxa"/>
            <w:vAlign w:val="center"/>
          </w:tcPr>
          <w:p w14:paraId="5651761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模拟安装连接</w:t>
            </w:r>
          </w:p>
        </w:tc>
      </w:tr>
      <w:tr w14:paraId="1A2F9A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614B6E9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约束 2</w:t>
            </w:r>
          </w:p>
        </w:tc>
        <w:tc>
          <w:tcPr>
            <w:tcW w:w="3400" w:type="dxa"/>
            <w:vAlign w:val="center"/>
          </w:tcPr>
          <w:p w14:paraId="4B80AC86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上方板区约束 Y</w:t>
            </w:r>
          </w:p>
        </w:tc>
        <w:tc>
          <w:tcPr>
            <w:tcW w:w="3300" w:type="dxa"/>
            <w:vAlign w:val="center"/>
          </w:tcPr>
          <w:p w14:paraId="7C339BD8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限制整体刚体位移</w:t>
            </w:r>
          </w:p>
        </w:tc>
      </w:tr>
      <w:tr w14:paraId="78E2EA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E2C793F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网格策略</w:t>
            </w:r>
          </w:p>
        </w:tc>
        <w:tc>
          <w:tcPr>
            <w:tcW w:w="3400" w:type="dxa"/>
            <w:vAlign w:val="center"/>
          </w:tcPr>
          <w:p w14:paraId="5BC143D4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总体网格尺寸 20 mm，关键部位细化至 15 mm</w:t>
            </w:r>
          </w:p>
        </w:tc>
        <w:tc>
          <w:tcPr>
            <w:tcW w:w="3300" w:type="dxa"/>
            <w:vAlign w:val="center"/>
          </w:tcPr>
          <w:p w14:paraId="63674933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关键部位包括主安装节过渡区、支板与机匣连接区、分流环转接区</w:t>
            </w:r>
          </w:p>
        </w:tc>
      </w:tr>
      <w:tr w14:paraId="6A86A5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7F1F243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单元数量</w:t>
            </w:r>
          </w:p>
        </w:tc>
        <w:tc>
          <w:tcPr>
            <w:tcW w:w="3400" w:type="dxa"/>
            <w:vAlign w:val="center"/>
          </w:tcPr>
          <w:p w14:paraId="2EC5563F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350548</w:t>
            </w:r>
          </w:p>
        </w:tc>
        <w:tc>
          <w:tcPr>
            <w:tcW w:w="3300" w:type="dxa"/>
            <w:vAlign w:val="center"/>
          </w:tcPr>
          <w:p w14:paraId="0ACBC7F9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用于初始刚度与应力校核</w:t>
            </w:r>
          </w:p>
        </w:tc>
      </w:tr>
    </w:tbl>
    <w:p w14:paraId="6DBF9822">
      <w:pPr>
        <w:spacing w:before="0" w:after="40" w:line="200" w:lineRule="exact"/>
      </w:pPr>
    </w:p>
    <w:p w14:paraId="3F677A7C">
      <w:pPr>
        <w:spacing w:before="120" w:after="120" w:line="240" w:lineRule="auto"/>
        <w:jc w:val="center"/>
      </w:pPr>
      <w:r>
        <w:drawing>
          <wp:inline distT="0" distB="0" distL="0" distR="0">
            <wp:extent cx="4648200" cy="26860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69F1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图2 中介机匣剖视图</w:t>
      </w:r>
    </w:p>
    <w:p w14:paraId="6F1F4A01">
      <w:pPr>
        <w:spacing w:before="120" w:after="120" w:line="240" w:lineRule="auto"/>
        <w:jc w:val="center"/>
      </w:pPr>
      <w:r>
        <w:drawing>
          <wp:inline distT="0" distB="0" distL="0" distR="0">
            <wp:extent cx="5399405" cy="536321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3B4C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图3 中介机匣约束</w:t>
      </w:r>
    </w:p>
    <w:p w14:paraId="3411F1FC">
      <w:pPr>
        <w:spacing w:before="120" w:after="120" w:line="240" w:lineRule="auto"/>
        <w:jc w:val="center"/>
      </w:pPr>
      <w:r>
        <w:drawing>
          <wp:inline distT="0" distB="0" distL="0" distR="0">
            <wp:extent cx="5399405" cy="5283835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8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CEB3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图4 中介机匣约束</w:t>
      </w:r>
    </w:p>
    <w:p w14:paraId="3915DF2A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网格划分采用分区控制策略，整体尺寸为 20 mm，主安装节过渡区、支板与机匣连接区、分流环转接区细化至 15 mm，总网格数为 350548。</w:t>
      </w:r>
    </w:p>
    <w:p w14:paraId="082276CD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初始分析结果表明，结构最大等效应力为 819.2 MPa，最大变形为 7.10 mm，最小刚度约为 5.41×10^7 N/m，未达到 10^8 N/m 量级目标。结果说明问题的关键不在局部单点补强，而在于整体厚度分配与承载路径协调不足，因此后续优化转向厚度参数协同设计。</w:t>
      </w:r>
    </w:p>
    <w:p w14:paraId="2C650F8E">
      <w:pPr>
        <w:spacing w:before="120" w:after="120" w:line="240" w:lineRule="auto"/>
        <w:jc w:val="center"/>
      </w:pPr>
      <w:r>
        <w:drawing>
          <wp:inline distT="0" distB="0" distL="0" distR="0">
            <wp:extent cx="5399405" cy="3089910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41E8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图5 中介机匣变形云图</w:t>
      </w:r>
    </w:p>
    <w:p w14:paraId="1901AC76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据此，项目将优化重点确定为提升 Y、Z 两个方向刚度，并在满足应力约束的同时控制质量增长，随后采用参数化建模和数据驱动优化方法开展研究。</w:t>
      </w:r>
    </w:p>
    <w:p w14:paraId="57B7DF22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这一阶段的结果为后续工作划定了边界。由于强度并未首先失效，而刚度明显偏低，因此后续设计不宜采用盲目整体增厚的方式，而应通过不同部位厚度的重新分配来改善受力传递效率。</w:t>
      </w:r>
    </w:p>
    <w:p w14:paraId="29E73340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项目选取内机匣、分流环、外机匣和支板四个厚度参数作为设计变量。这样既覆盖了主要承载路径上的刚度变化，也便于进行批量有限元分析和数据库构建。</w:t>
      </w:r>
    </w:p>
    <w:p w14:paraId="615A5543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数据库阶段的参数范围设置为：内机匣 3 至 7 mm、分流环 3 至 9 mm、外机匣 4 至 10 mm、支板 2 至 6 mm，步长均为 1 mm，共得到 1225 组参数组合。</w:t>
      </w:r>
    </w:p>
    <w:p w14:paraId="45420C71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四个变量的选取遵循“少而关键”的原则。中介机匣主体轮廓和安装边界在方案阶段通常相对固定，而厚度参数对质量、应力和刚度影响最直接，因此采用四参数建模既保持了工程针对性，也控制了数据库规模。</w:t>
      </w:r>
    </w:p>
    <w:tbl>
      <w:tblPr>
        <w:tblStyle w:val="3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2800"/>
      </w:tblGrid>
      <w:tr w14:paraId="34EEE8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4A19006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参数名称</w:t>
            </w:r>
          </w:p>
        </w:tc>
        <w:tc>
          <w:tcPr>
            <w:tcW w:w="2800" w:type="dxa"/>
            <w:vAlign w:val="center"/>
          </w:tcPr>
          <w:p w14:paraId="398C851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变化范围/mm</w:t>
            </w:r>
          </w:p>
        </w:tc>
        <w:tc>
          <w:tcPr>
            <w:tcW w:w="2800" w:type="dxa"/>
            <w:vAlign w:val="center"/>
          </w:tcPr>
          <w:p w14:paraId="73AF684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步长/mm</w:t>
            </w:r>
          </w:p>
        </w:tc>
      </w:tr>
      <w:tr w14:paraId="0882D2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18165BEE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内机匣厚度</w:t>
            </w:r>
          </w:p>
        </w:tc>
        <w:tc>
          <w:tcPr>
            <w:tcW w:w="2800" w:type="dxa"/>
            <w:vAlign w:val="center"/>
          </w:tcPr>
          <w:p w14:paraId="3D80A4BE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3-7</w:t>
            </w:r>
          </w:p>
        </w:tc>
        <w:tc>
          <w:tcPr>
            <w:tcW w:w="2800" w:type="dxa"/>
            <w:vAlign w:val="center"/>
          </w:tcPr>
          <w:p w14:paraId="793991CA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</w:tr>
      <w:tr w14:paraId="6BA54C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09F486B4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分流环厚度</w:t>
            </w:r>
          </w:p>
        </w:tc>
        <w:tc>
          <w:tcPr>
            <w:tcW w:w="2800" w:type="dxa"/>
            <w:vAlign w:val="center"/>
          </w:tcPr>
          <w:p w14:paraId="3EABC10F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3-9</w:t>
            </w:r>
          </w:p>
        </w:tc>
        <w:tc>
          <w:tcPr>
            <w:tcW w:w="2800" w:type="dxa"/>
            <w:vAlign w:val="center"/>
          </w:tcPr>
          <w:p w14:paraId="4D140A15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</w:tr>
      <w:tr w14:paraId="5E6222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42E86313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外机匣厚度</w:t>
            </w:r>
          </w:p>
        </w:tc>
        <w:tc>
          <w:tcPr>
            <w:tcW w:w="2800" w:type="dxa"/>
            <w:vAlign w:val="center"/>
          </w:tcPr>
          <w:p w14:paraId="02E263AF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4-10</w:t>
            </w:r>
          </w:p>
        </w:tc>
        <w:tc>
          <w:tcPr>
            <w:tcW w:w="2800" w:type="dxa"/>
            <w:vAlign w:val="center"/>
          </w:tcPr>
          <w:p w14:paraId="5B78DBA8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</w:tr>
      <w:tr w14:paraId="39ACC3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0E5B7434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支板厚度</w:t>
            </w:r>
          </w:p>
        </w:tc>
        <w:tc>
          <w:tcPr>
            <w:tcW w:w="2800" w:type="dxa"/>
            <w:vAlign w:val="center"/>
          </w:tcPr>
          <w:p w14:paraId="1D2E7936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2-6</w:t>
            </w:r>
          </w:p>
        </w:tc>
        <w:tc>
          <w:tcPr>
            <w:tcW w:w="2800" w:type="dxa"/>
            <w:vAlign w:val="center"/>
          </w:tcPr>
          <w:p w14:paraId="1028B314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</w:tr>
    </w:tbl>
    <w:p w14:paraId="0C837ED0">
      <w:pPr>
        <w:spacing w:before="0" w:after="40" w:line="200" w:lineRule="exact"/>
      </w:pPr>
    </w:p>
    <w:p w14:paraId="06A4D20A">
      <w:pPr>
        <w:spacing w:before="120" w:after="120" w:line="240" w:lineRule="auto"/>
        <w:jc w:val="center"/>
      </w:pPr>
      <w:r>
        <w:drawing>
          <wp:inline distT="0" distB="0" distL="0" distR="0">
            <wp:extent cx="5399405" cy="5345430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07D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图6 中介机匣参数化模型的网格</w:t>
      </w:r>
    </w:p>
    <w:p w14:paraId="645FD98E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参数化模型在保证主要承载特征不失真的前提下对网格进行了整理，总网格数为 206583。其初始分析结果为：最大应力 215 MPa，最大变形 1.29 mm，Y 向刚度 5.59×10^7 N/m，Z 向刚度 5.46×10^7 N/m，可作为后续数据库生成的统一分析平台。</w:t>
      </w:r>
    </w:p>
    <w:p w14:paraId="62EC6294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与初始完整模型相比，参数化模型在网格规模和计算效率上更适合批量计算，同时仍保持了关键连接部位的局部响应特征。这使数据库样本既具备一定精度基础，又能在可接受时间内完成批量生成。</w:t>
      </w:r>
    </w:p>
    <w:p w14:paraId="7A4EF489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对代表性参数组合进行校核后发现，当四个厚度取 10/10/10/6 mm 时，Y 向和 Z 向刚度分别提高到 1.14×10^8 N/m 和 1.20×10^8 N/m，说明仅通过四个厚度变量协同调整即可显著提升刚度水平。</w:t>
      </w:r>
    </w:p>
    <w:p w14:paraId="1BED7439">
      <w:pPr>
        <w:spacing w:before="120" w:after="120" w:line="240" w:lineRule="auto"/>
        <w:jc w:val="center"/>
      </w:pPr>
      <w:r>
        <w:drawing>
          <wp:inline distT="0" distB="0" distL="0" distR="0">
            <wp:extent cx="5399405" cy="3454400"/>
            <wp:effectExtent l="0" t="0" r="0" b="0"/>
            <wp:docPr id="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0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E95B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图7 任意参数的中介机匣参数化模型变形云图（变形放大227倍）</w:t>
      </w:r>
    </w:p>
    <w:p w14:paraId="61C14121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样本数据库将厚度组合与质量、应力和刚度等响应建立对应关系，为代理模型训练和后续优化提供了数据基础。</w:t>
      </w:r>
    </w:p>
    <w:p w14:paraId="45CCEECF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数据库构建的意义不只是获得大量算例，更在于把有限元结果组织为可学习的数据集合。这样，后续优化可以从“重复建模求解”转变为“数据库支撑下的快速预测与筛选”。</w:t>
      </w:r>
    </w:p>
    <w:p w14:paraId="79AC15B1">
      <w:pPr>
        <w:spacing w:before="120" w:after="120" w:line="240" w:lineRule="auto"/>
        <w:jc w:val="center"/>
      </w:pPr>
      <w:r>
        <w:drawing>
          <wp:inline distT="0" distB="0" distL="0" distR="0">
            <wp:extent cx="5086350" cy="2000250"/>
            <wp:effectExtent l="0" t="0" r="0" b="0"/>
            <wp:docPr id="8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3F9B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图8 中介机匣数据库</w:t>
      </w:r>
    </w:p>
    <w:p w14:paraId="475214CC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在样本数据库基础上，项目建立了中介机匣性能代理预测模型，以减少优化阶段对高成本有限元求解的依赖。模型输入为 14 维特征向量，输出为质量、最大应力和双向刚度；采用单隐层神经网络，隐层节点数为 128，训练集与测试集按 7:3 划分，学习率和正则化系数均为 0.001，批大小为 16。</w:t>
      </w:r>
    </w:p>
    <w:p w14:paraId="4DFD3B1F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之所以采用代理模型，是因为多目标优化需要反复评估大量参数组合，若全部依赖有限元直接求解，将带来较高时间成本。通过数据库训练后，代理模型可以快速给出性能响应，从而显著提高搜索效率。</w:t>
      </w:r>
    </w:p>
    <w:p w14:paraId="00022EC3">
      <w:pPr>
        <w:spacing w:before="120" w:after="120" w:line="240" w:lineRule="auto"/>
        <w:jc w:val="center"/>
      </w:pPr>
      <w:r>
        <w:drawing>
          <wp:inline distT="0" distB="0" distL="0" distR="0">
            <wp:extent cx="4676775" cy="4752975"/>
            <wp:effectExtent l="0" t="0" r="0" b="0"/>
            <wp:docPr id="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DF22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图9 中介机匣神经网络模型示意图</w:t>
      </w:r>
    </w:p>
    <w:p w14:paraId="044056B4">
      <w:pPr>
        <w:spacing w:before="120" w:after="120" w:line="240" w:lineRule="auto"/>
        <w:jc w:val="center"/>
      </w:pPr>
      <w:r>
        <w:drawing>
          <wp:inline distT="0" distB="0" distL="0" distR="0">
            <wp:extent cx="5000625" cy="4048125"/>
            <wp:effectExtent l="0" t="0" r="0" b="0"/>
            <wp:docPr id="10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00F8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图10 中介机匣神经网络训练误差变化曲线</w:t>
      </w:r>
    </w:p>
    <w:p w14:paraId="623973F0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训练与测试结果表明，代理模型对各项指标的预测趋势与有限元样本结果基本一致，整体误差控制在 5% 以内，满足方案筛选和优化决策需求。</w:t>
      </w:r>
    </w:p>
    <w:p w14:paraId="62477FD1">
      <w:pPr>
        <w:spacing w:before="120" w:after="120" w:line="240" w:lineRule="auto"/>
        <w:jc w:val="center"/>
      </w:pPr>
      <w:r>
        <w:drawing>
          <wp:inline distT="0" distB="0" distL="0" distR="0">
            <wp:extent cx="5105400" cy="4038600"/>
            <wp:effectExtent l="0" t="0" r="0" b="0"/>
            <wp:docPr id="1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7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8E18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图11 质量预测效果</w:t>
      </w:r>
    </w:p>
    <w:p w14:paraId="0E29DCFF">
      <w:pPr>
        <w:spacing w:before="120" w:after="120" w:line="240" w:lineRule="auto"/>
        <w:jc w:val="center"/>
      </w:pPr>
      <w:r>
        <w:drawing>
          <wp:inline distT="0" distB="0" distL="0" distR="0">
            <wp:extent cx="4981575" cy="3971925"/>
            <wp:effectExtent l="0" t="0" r="0" b="0"/>
            <wp:docPr id="12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8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B37D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图12 最大应力预测效果</w:t>
      </w:r>
    </w:p>
    <w:p w14:paraId="2CF5A858">
      <w:pPr>
        <w:spacing w:before="120" w:after="120" w:line="240" w:lineRule="auto"/>
        <w:jc w:val="center"/>
      </w:pPr>
      <w:r>
        <w:drawing>
          <wp:inline distT="0" distB="0" distL="0" distR="0">
            <wp:extent cx="4991100" cy="4143375"/>
            <wp:effectExtent l="0" t="0" r="0" b="0"/>
            <wp:docPr id="1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9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DD73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图13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/>
          <w:sz w:val="21"/>
          <w:szCs w:val="21"/>
        </w:rPr>
        <w:t>Y向刚度预测效果</w:t>
      </w:r>
    </w:p>
    <w:p w14:paraId="39FA35CD">
      <w:pPr>
        <w:spacing w:before="120" w:after="120" w:line="240" w:lineRule="auto"/>
        <w:jc w:val="center"/>
      </w:pPr>
      <w:r>
        <w:drawing>
          <wp:inline distT="0" distB="0" distL="0" distR="0">
            <wp:extent cx="5038725" cy="4210050"/>
            <wp:effectExtent l="0" t="0" r="0" b="0"/>
            <wp:docPr id="14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0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5262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图14 Z向刚度预测效果</w:t>
      </w:r>
    </w:p>
    <w:p w14:paraId="70574F17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代理模型的建立显著提高了迭代效率，使优化算法能够在较短时间内完成大批量方案评估，并与有限元回代校核形成协同流程。</w:t>
      </w:r>
    </w:p>
    <w:p w14:paraId="06A1DC47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在本项目中，代理模型并不替代有限元分析本身。有限元仍用于构建可靠样本和校核最终方案，代理模型则负责承担优化过程中的快速评估任务，两者结合后兼顾了效率与可信度。</w:t>
      </w:r>
    </w:p>
    <w:p w14:paraId="7ECDA20C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在完成代理模型构建后，项目采用 NSGA-II 算法开展中介机匣多目标优化。优化问题的设计变量仍为内机匣、分流环、外机匣和支板四个厚度参数。</w:t>
      </w:r>
    </w:p>
    <w:p w14:paraId="223E35B6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优化目标设置为：在满足结构性能要求的前提下，使机匣质量尽可能小，同时使最大应力保持较低水平；约束条件为 Y 向刚度和 Z 向刚度均不低于 1.0×10^8 N/m，并满足强度安全要求。这样处理的原因在于，中介机匣设计并非单纯追求某一指标最优，而是需要在刚度、应力和质量之间取得平衡。</w:t>
      </w:r>
    </w:p>
    <w:p w14:paraId="2BADF284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为提升优化分辨率，算法搜索阶段对参数范围进一步细化，设置内机匣厚度 3.0 至 9.3 mm、分流环厚度 3.0 至 9.3 mm、外机匣厚度 4.0 至 10.3 mm、支板厚度 2.0 至 8.3 mm，步长均为 0.1 mm。</w:t>
      </w:r>
    </w:p>
    <w:tbl>
      <w:tblPr>
        <w:tblStyle w:val="3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2800"/>
      </w:tblGrid>
      <w:tr w14:paraId="57EF93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6F3B04C7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参数名称</w:t>
            </w:r>
          </w:p>
        </w:tc>
        <w:tc>
          <w:tcPr>
            <w:tcW w:w="2800" w:type="dxa"/>
            <w:vAlign w:val="center"/>
          </w:tcPr>
          <w:p w14:paraId="2B3077C2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优化搜索范围/mm</w:t>
            </w:r>
          </w:p>
        </w:tc>
        <w:tc>
          <w:tcPr>
            <w:tcW w:w="2800" w:type="dxa"/>
            <w:vAlign w:val="center"/>
          </w:tcPr>
          <w:p w14:paraId="676BE54E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步长/mm</w:t>
            </w:r>
          </w:p>
        </w:tc>
      </w:tr>
      <w:tr w14:paraId="790A91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14DBFE3F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内机匣厚度</w:t>
            </w:r>
          </w:p>
        </w:tc>
        <w:tc>
          <w:tcPr>
            <w:tcW w:w="2800" w:type="dxa"/>
            <w:vAlign w:val="center"/>
          </w:tcPr>
          <w:p w14:paraId="4D0D48D4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3.0-9.3</w:t>
            </w:r>
          </w:p>
        </w:tc>
        <w:tc>
          <w:tcPr>
            <w:tcW w:w="2800" w:type="dxa"/>
            <w:vAlign w:val="center"/>
          </w:tcPr>
          <w:p w14:paraId="765526B6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0.1</w:t>
            </w:r>
          </w:p>
        </w:tc>
      </w:tr>
      <w:tr w14:paraId="391375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76FF52CE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分流环厚度</w:t>
            </w:r>
          </w:p>
        </w:tc>
        <w:tc>
          <w:tcPr>
            <w:tcW w:w="2800" w:type="dxa"/>
            <w:vAlign w:val="center"/>
          </w:tcPr>
          <w:p w14:paraId="65461CB0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3.0-9.3</w:t>
            </w:r>
          </w:p>
        </w:tc>
        <w:tc>
          <w:tcPr>
            <w:tcW w:w="2800" w:type="dxa"/>
            <w:vAlign w:val="center"/>
          </w:tcPr>
          <w:p w14:paraId="18F97293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0.1</w:t>
            </w:r>
          </w:p>
        </w:tc>
      </w:tr>
      <w:tr w14:paraId="445598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62DEFC0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外机匣厚度</w:t>
            </w:r>
          </w:p>
        </w:tc>
        <w:tc>
          <w:tcPr>
            <w:tcW w:w="2800" w:type="dxa"/>
            <w:vAlign w:val="center"/>
          </w:tcPr>
          <w:p w14:paraId="65D4C3E0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4.0-10.3</w:t>
            </w:r>
          </w:p>
        </w:tc>
        <w:tc>
          <w:tcPr>
            <w:tcW w:w="2800" w:type="dxa"/>
            <w:vAlign w:val="center"/>
          </w:tcPr>
          <w:p w14:paraId="0CDE2560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0.1</w:t>
            </w:r>
          </w:p>
        </w:tc>
      </w:tr>
      <w:tr w14:paraId="0C594E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5715913E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支板厚度</w:t>
            </w:r>
          </w:p>
        </w:tc>
        <w:tc>
          <w:tcPr>
            <w:tcW w:w="2800" w:type="dxa"/>
            <w:vAlign w:val="center"/>
          </w:tcPr>
          <w:p w14:paraId="05E94967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2.0-8.3</w:t>
            </w:r>
          </w:p>
        </w:tc>
        <w:tc>
          <w:tcPr>
            <w:tcW w:w="2800" w:type="dxa"/>
            <w:vAlign w:val="center"/>
          </w:tcPr>
          <w:p w14:paraId="60565DF2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0.1</w:t>
            </w:r>
          </w:p>
        </w:tc>
      </w:tr>
    </w:tbl>
    <w:p w14:paraId="6FB94513">
      <w:pPr>
        <w:spacing w:before="0" w:after="40" w:line="200" w:lineRule="exact"/>
      </w:pPr>
    </w:p>
    <w:p w14:paraId="059F3C98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优化算法设置为 50 代、每代 50 个个体，总评估次数为 2550。借助代理模型，算法能够快速完成全局搜索并输出反映质量与刚度权衡关系的 Pareto 解集。</w:t>
      </w:r>
    </w:p>
    <w:p w14:paraId="4A7F70EB">
      <w:pPr>
        <w:spacing w:before="120" w:after="120" w:line="240" w:lineRule="auto"/>
        <w:jc w:val="center"/>
      </w:pPr>
      <w:r>
        <w:drawing>
          <wp:inline distT="0" distB="0" distL="0" distR="0">
            <wp:extent cx="5399405" cy="2763520"/>
            <wp:effectExtent l="0" t="0" r="0" b="0"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2747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图15 中介机匣结构优化流程</w:t>
      </w:r>
    </w:p>
    <w:p w14:paraId="5E3BD4DD">
      <w:pPr>
        <w:spacing w:before="120" w:after="120" w:line="240" w:lineRule="auto"/>
        <w:jc w:val="center"/>
      </w:pPr>
      <w:r>
        <w:drawing>
          <wp:inline distT="0" distB="0" distL="0" distR="0">
            <wp:extent cx="5399405" cy="5681345"/>
            <wp:effectExtent l="0" t="0" r="0" b="0"/>
            <wp:docPr id="16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1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8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C50F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图16 NSGA-II算法流程图</w:t>
      </w:r>
    </w:p>
    <w:p w14:paraId="71278B0B">
      <w:pPr>
        <w:spacing w:before="120" w:after="120" w:line="240" w:lineRule="auto"/>
        <w:jc w:val="center"/>
      </w:pPr>
      <w:r>
        <w:drawing>
          <wp:inline distT="0" distB="0" distL="0" distR="0">
            <wp:extent cx="4286250" cy="3838575"/>
            <wp:effectExtent l="0" t="0" r="0" b="0"/>
            <wp:docPr id="17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6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7A9C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图17 优化前后非支配解集对比</w:t>
      </w:r>
    </w:p>
    <w:p w14:paraId="5319D389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根据当前软件工具的优化结果，推荐最优方案为：内机匣厚度 9.3 mm、分流环厚度 5.5 mm、外机匣厚度 9.7 mm、支板厚度 5.8 mm。在该组合下，结构质量为 299.2 kg，最大应力为 83.0 MPa，Y 向刚度为 1.004×10^8 N/m，Z 向刚度为 1.024×10^8 N/m。与基准模型相比，结构应力水平大幅下降，刚度由 10^7 N/m 量级提升至 10^8 N/m 量级，说明厚度参数重新分配后，承载路径更加顺畅，结构变形控制能力显著增强。</w:t>
      </w:r>
    </w:p>
    <w:p w14:paraId="1192246B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从结果对比可以看出，优化后方案并非所有部位同时大幅增厚，而是根据不同部位在承载路径中的作用进行差异化调整。这种分配方式比简单整体加厚更有效，也更符合轻量化设计的基本思路。</w:t>
      </w:r>
    </w:p>
    <w:tbl>
      <w:tblPr>
        <w:tblStyle w:val="3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1600"/>
        <w:gridCol w:w="1400"/>
        <w:gridCol w:w="1400"/>
      </w:tblGrid>
      <w:tr w14:paraId="511300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14EC3B68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方案</w:t>
            </w:r>
          </w:p>
        </w:tc>
        <w:tc>
          <w:tcPr>
            <w:tcW w:w="2400" w:type="dxa"/>
            <w:vAlign w:val="center"/>
          </w:tcPr>
          <w:p w14:paraId="1A9DCBD4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厚度组合/mm</w:t>
            </w:r>
          </w:p>
        </w:tc>
        <w:tc>
          <w:tcPr>
            <w:tcW w:w="1600" w:type="dxa"/>
            <w:vAlign w:val="center"/>
          </w:tcPr>
          <w:p w14:paraId="2BBADD5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最大应力/MPa</w:t>
            </w:r>
          </w:p>
        </w:tc>
        <w:tc>
          <w:tcPr>
            <w:tcW w:w="1400" w:type="dxa"/>
            <w:vAlign w:val="center"/>
          </w:tcPr>
          <w:p w14:paraId="054646D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Y 向刚度/N·m^-1</w:t>
            </w:r>
          </w:p>
        </w:tc>
        <w:tc>
          <w:tcPr>
            <w:tcW w:w="1400" w:type="dxa"/>
            <w:vAlign w:val="center"/>
          </w:tcPr>
          <w:p w14:paraId="2BCEDE3F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Z 向刚度/N·m^-1</w:t>
            </w:r>
          </w:p>
        </w:tc>
      </w:tr>
      <w:tr w14:paraId="43B6B6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793A8576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初始有限元方案</w:t>
            </w:r>
          </w:p>
        </w:tc>
        <w:tc>
          <w:tcPr>
            <w:tcW w:w="2400" w:type="dxa"/>
            <w:vAlign w:val="center"/>
          </w:tcPr>
          <w:p w14:paraId="4CC0C838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3 / 3.5 / 4 / 2.5</w:t>
            </w:r>
          </w:p>
        </w:tc>
        <w:tc>
          <w:tcPr>
            <w:tcW w:w="1600" w:type="dxa"/>
            <w:vAlign w:val="center"/>
          </w:tcPr>
          <w:p w14:paraId="3A42814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819.2</w:t>
            </w:r>
          </w:p>
        </w:tc>
        <w:tc>
          <w:tcPr>
            <w:tcW w:w="1400" w:type="dxa"/>
            <w:vAlign w:val="center"/>
          </w:tcPr>
          <w:p w14:paraId="055EBB97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5.41×10^7（最小刚度量级）</w:t>
            </w:r>
          </w:p>
        </w:tc>
        <w:tc>
          <w:tcPr>
            <w:tcW w:w="1400" w:type="dxa"/>
            <w:vAlign w:val="center"/>
          </w:tcPr>
          <w:p w14:paraId="57244AB9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5.41×10^7（量级参考）</w:t>
            </w:r>
          </w:p>
        </w:tc>
      </w:tr>
      <w:tr w14:paraId="201A56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5124D3CA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参数化初始方案</w:t>
            </w:r>
          </w:p>
        </w:tc>
        <w:tc>
          <w:tcPr>
            <w:tcW w:w="2400" w:type="dxa"/>
            <w:vAlign w:val="center"/>
          </w:tcPr>
          <w:p w14:paraId="42877462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参数化模型默认组合</w:t>
            </w:r>
          </w:p>
        </w:tc>
        <w:tc>
          <w:tcPr>
            <w:tcW w:w="1600" w:type="dxa"/>
            <w:vAlign w:val="center"/>
          </w:tcPr>
          <w:p w14:paraId="61526A8A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215</w:t>
            </w:r>
          </w:p>
        </w:tc>
        <w:tc>
          <w:tcPr>
            <w:tcW w:w="1400" w:type="dxa"/>
            <w:vAlign w:val="center"/>
          </w:tcPr>
          <w:p w14:paraId="623092B7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5.59×10^7</w:t>
            </w:r>
          </w:p>
        </w:tc>
        <w:tc>
          <w:tcPr>
            <w:tcW w:w="1400" w:type="dxa"/>
            <w:vAlign w:val="center"/>
          </w:tcPr>
          <w:p w14:paraId="3FD8BEF9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5.46×10^7</w:t>
            </w:r>
          </w:p>
        </w:tc>
      </w:tr>
      <w:tr w14:paraId="0B9B6D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7122E62A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软件推荐最优方案</w:t>
            </w:r>
          </w:p>
        </w:tc>
        <w:tc>
          <w:tcPr>
            <w:tcW w:w="2400" w:type="dxa"/>
            <w:vAlign w:val="center"/>
          </w:tcPr>
          <w:p w14:paraId="3DFB7743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9.3 / 5.5 / 9.7 / 5.8</w:t>
            </w:r>
          </w:p>
        </w:tc>
        <w:tc>
          <w:tcPr>
            <w:tcW w:w="1600" w:type="dxa"/>
            <w:vAlign w:val="center"/>
          </w:tcPr>
          <w:p w14:paraId="35760C61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83.0</w:t>
            </w:r>
          </w:p>
        </w:tc>
        <w:tc>
          <w:tcPr>
            <w:tcW w:w="1400" w:type="dxa"/>
            <w:vAlign w:val="center"/>
          </w:tcPr>
          <w:p w14:paraId="15BE2370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1.004×10^8</w:t>
            </w:r>
          </w:p>
        </w:tc>
        <w:tc>
          <w:tcPr>
            <w:tcW w:w="1400" w:type="dxa"/>
            <w:vAlign w:val="center"/>
          </w:tcPr>
          <w:p w14:paraId="156AB09B">
            <w:pPr>
              <w:spacing w:before="40" w:after="40" w:line="320" w:lineRule="exact"/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1.024×10^8</w:t>
            </w:r>
          </w:p>
        </w:tc>
      </w:tr>
    </w:tbl>
    <w:p w14:paraId="0656597A">
      <w:pPr>
        <w:spacing w:before="0" w:after="40" w:line="200" w:lineRule="exact"/>
      </w:pPr>
    </w:p>
    <w:p w14:paraId="3A4730D9">
      <w:pPr>
        <w:spacing w:before="120" w:after="120" w:line="240" w:lineRule="auto"/>
        <w:jc w:val="center"/>
      </w:pPr>
      <w:r>
        <w:drawing>
          <wp:inline distT="0" distB="0" distL="0" distR="0">
            <wp:extent cx="5324475" cy="4924425"/>
            <wp:effectExtent l="0" t="0" r="0" b="0"/>
            <wp:docPr id="18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7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861B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图18 最优解有限元分析结果应力云图</w:t>
      </w:r>
    </w:p>
    <w:p w14:paraId="1ABC08DB">
      <w:pPr>
        <w:spacing w:before="120" w:after="120" w:line="240" w:lineRule="auto"/>
        <w:jc w:val="center"/>
      </w:pPr>
      <w:r>
        <w:drawing>
          <wp:inline distT="0" distB="0" distL="0" distR="0">
            <wp:extent cx="5399405" cy="4861560"/>
            <wp:effectExtent l="0" t="0" r="0" b="0"/>
            <wp:docPr id="1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8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F329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图19 最优解有限元分析结果变形云图</w:t>
      </w:r>
    </w:p>
    <w:p w14:paraId="3495CC3D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刚度校核表明，优化后的 Y、Z 两个方向刚度均超过 1.0×10^8 N/m，达到项目目标量级。结合应力云图和变形云图可知，该方案通过更合理的厚度协同关系改善了承载路径，实现了“刚度满足要求、应力较低、参数可实施”的综合优化结果。</w:t>
      </w:r>
    </w:p>
    <w:p w14:paraId="353997EC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需要说明的是，多目标优化输出的是一组 Pareto 非支配解，而不是唯一答案。报告中采用当前软件推荐方案作为代表，是因为该方案在质量、应力和双向刚度之间取得了较好的综合平衡。</w:t>
      </w:r>
    </w:p>
    <w:p w14:paraId="17EBF0A6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为提高成果的可用性，项目将参数输入、性能预测和优化求解封装为可视化软件工具。用户可在界面中调整四个关键厚度参数，查看质量、应力和刚度预测结果，并启动多目标优化模块获得推荐方案。</w:t>
      </w:r>
    </w:p>
    <w:p w14:paraId="33E41028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软件主要包括参数设置、代理预测和多目标优化三部分功能，并保留 Abaqus 脚本导出能力，便于后续详细仿真与工程校核。</w:t>
      </w:r>
    </w:p>
    <w:p w14:paraId="275C581F">
      <w:pPr>
        <w:spacing w:before="120" w:after="120" w:line="240" w:lineRule="auto"/>
        <w:jc w:val="center"/>
      </w:pPr>
      <w:r>
        <w:drawing>
          <wp:inline distT="0" distB="0" distL="0" distR="0">
            <wp:extent cx="5399405" cy="3311525"/>
            <wp:effectExtent l="0" t="0" r="0" b="0"/>
            <wp:docPr id="20" name="tool_ui_m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ool_ui_mock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AFA9">
      <w:pPr>
        <w:spacing w:before="0" w:after="80" w:line="320" w:lineRule="exact"/>
        <w:jc w:val="center"/>
      </w:pPr>
      <w:r>
        <w:rPr>
          <w:rFonts w:ascii="宋体" w:hAnsi="宋体" w:eastAsia="宋体"/>
          <w:sz w:val="21"/>
          <w:szCs w:val="21"/>
        </w:rPr>
        <w:t>图20 中介机匣优化设计软件界面</w:t>
      </w:r>
    </w:p>
    <w:p w14:paraId="3C06FE27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软件工具能够稳定复现研究中的主要流程，是项目由方法验证走向工程应用的重要成果。</w:t>
      </w:r>
    </w:p>
    <w:p w14:paraId="527C5B4E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软件的形成使项目成果不再停留于文字结论，而能够以可视化界面形式直接展示参数输入、性能响应和优化输出之间的关系，也为后续继续扩展工况和评价准则提供了基础。</w:t>
      </w:r>
    </w:p>
    <w:p w14:paraId="1C4A41A8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对项目总结而言，软件工具的意义还在于提升了成果的可验证性。通过界面化操作，可以更直观地复现研究中的核心步骤，也便于对不同参数组合进行快速比较和展示。</w:t>
      </w:r>
    </w:p>
    <w:p w14:paraId="61546C6D">
      <w:pPr>
        <w:spacing w:before="120" w:after="60" w:line="400" w:lineRule="exact"/>
        <w:jc w:val="left"/>
      </w:pPr>
      <w:r>
        <w:rPr>
          <w:rFonts w:ascii="黑体" w:hAnsi="黑体" w:eastAsia="黑体"/>
          <w:b/>
          <w:sz w:val="24"/>
          <w:szCs w:val="24"/>
        </w:rPr>
        <w:t>2.2 主要研究结果</w:t>
      </w:r>
    </w:p>
    <w:p w14:paraId="71DF091D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项目系统完成了中介机匣由初始分析到优化校核的全流程研究，明确了结构薄弱点、参数优化路径和刚度提升方向，并将 Y、Z 两个方向刚度由 10^7 N/m 量级提升至 10^8 N/m 量级。</w:t>
      </w:r>
    </w:p>
    <w:p w14:paraId="65E0DBC9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项目建立了 1225 组样本数据库并完成代理模型训练，预测误差控制在 5% 以内，为大规模方案搜索提供了可靠工具。</w:t>
      </w:r>
    </w:p>
    <w:p w14:paraId="72854739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项目还开发了集参数化分析、代理预测和多目标优化于一体的软件工具，提升了成果的可展示性和可复用性。</w:t>
      </w:r>
    </w:p>
    <w:p w14:paraId="42BEFCF2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从阶段成果看，项目已经同步形成了分析模型、数据模型、优化模型和软件工具，说明研究不仅得到了一组可行结果，也搭建起了后续继续扩展的方法基础。</w:t>
      </w:r>
    </w:p>
    <w:p w14:paraId="74726098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综合来看，本项目的成果并非单一数值结论，而是一套较完整的结构优化方法。该方法既能用于当前中介机匣问题，也可以为其他类似承力框架结构的初步优化提供借鉴。</w:t>
      </w:r>
    </w:p>
    <w:p w14:paraId="69438929">
      <w:pPr>
        <w:spacing w:before="200" w:after="120" w:line="400" w:lineRule="exact"/>
        <w:jc w:val="left"/>
      </w:pPr>
      <w:r>
        <w:rPr>
          <w:rFonts w:ascii="黑体" w:hAnsi="黑体" w:eastAsia="黑体"/>
          <w:b/>
          <w:sz w:val="28"/>
          <w:szCs w:val="28"/>
        </w:rPr>
        <w:t>三、项目创新点</w:t>
      </w:r>
    </w:p>
    <w:p w14:paraId="208BD1A3">
      <w:pPr>
        <w:bidi w:val="0"/>
        <w:ind w:firstLine="420" w:firstLineChars="200"/>
        <w:rPr>
          <w:rFonts w:hint="eastAsia" w:eastAsia="宋体"/>
          <w:lang w:eastAsia="zh-CN"/>
        </w:rPr>
      </w:pPr>
      <w:r>
        <w:rPr>
          <w:rFonts w:hint="default"/>
        </w:rPr>
        <w:t>本项目的创新点主要体现在以下几个方面</w:t>
      </w:r>
      <w:r>
        <w:rPr>
          <w:rFonts w:hint="eastAsia"/>
          <w:lang w:eastAsia="zh-CN"/>
        </w:rPr>
        <w:t>：</w:t>
      </w:r>
    </w:p>
    <w:p w14:paraId="33BB6BFC">
      <w:pPr>
        <w:bidi w:val="0"/>
        <w:rPr/>
      </w:pPr>
    </w:p>
    <w:p w14:paraId="0E061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400" w:firstLine="0" w:firstLineChars="0"/>
        <w:textAlignment w:val="auto"/>
        <w:rPr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项目围绕中介机匣刚度不足问题，构建了“有限元分析、参数化建模、数据库构建、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</w:rPr>
        <w:t>代理预测、多目标优化、结果校核、软件实现”相衔接的完整研究流程，实现了分析、优化与验证的闭环开展，提高了研究工作的系统性和完整性。</w:t>
      </w:r>
    </w:p>
    <w:p w14:paraId="66C6F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400" w:firstLine="0" w:firstLineChars="0"/>
        <w:textAlignment w:val="auto"/>
        <w:rPr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项目结合中介机匣结构特点，提取内机匣、分流环、外机匣和支板四个关键厚度参数作为主要设计变量，建立了针对性较强的参数化分析模型。该方法在保证工程代表性的同时，降低了优化变量维度，便于开展批量计算和规律分析。</w:t>
      </w:r>
    </w:p>
    <w:p w14:paraId="15892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400" w:firstLine="0" w:firstLineChars="0"/>
        <w:textAlignment w:val="auto"/>
        <w:rPr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项目基于参数化模型构建了中介机匣结构性能数据库，实现了厚度参数与质量、应力、刚度等响应指标之间的系统对应，为后续代理模型训练和优化设计提供了数据基础，使结构设计由单方案分析转向数据支撑下的综合比较。</w:t>
      </w:r>
    </w:p>
    <w:p w14:paraId="70C08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400" w:firstLine="0" w:firstLineChars="0"/>
        <w:textAlignment w:val="auto"/>
        <w:rPr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项目引入神经网络代理预测方法，将有限元样本结果用于模型训练，实现了结构性能的快速预测，明显提高了多目标优化阶段的计算效率。该方法兼顾了分析精度与优化效率，增强了研究方法的实用性。</w:t>
      </w:r>
    </w:p>
    <w:p w14:paraId="3B9C4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400" w:firstLine="0" w:firstLineChars="0"/>
        <w:textAlignment w:val="auto"/>
        <w:rPr/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项目采用多目标优化方法，以质量和最大应力为目标，并以双向刚度和强度要求为约束，获得了满足工程要求的优化方案。相较于单一指标优化，该方法更符合中介机匣结构设计中多指标协调控制的实际需求。</w:t>
      </w:r>
    </w:p>
    <w:p w14:paraId="29B48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400" w:firstLine="0" w:firstLineChars="0"/>
        <w:textAlignment w:val="auto"/>
        <w:rPr/>
      </w:pPr>
      <w:r>
        <w:rPr>
          <w:rFonts w:hint="eastAsia"/>
          <w:lang w:val="en-US" w:eastAsia="zh-CN"/>
        </w:rPr>
        <w:t>6.</w:t>
      </w:r>
      <w:r>
        <w:rPr>
          <w:rFonts w:hint="default"/>
        </w:rPr>
        <w:t>项目在完成优化后，对推荐方案进行了有限元回代校核，验证了优化结果在刚度和强度方面的可行性，使研究成果不仅具有理论意义，也具有较强的工程可信度。</w:t>
      </w:r>
    </w:p>
    <w:p w14:paraId="0C940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400" w:firstLine="0" w:firstLineChars="0"/>
        <w:textAlignment w:val="auto"/>
        <w:rPr>
          <w:rFonts w:ascii="黑体" w:hAnsi="黑体" w:eastAsia="黑体"/>
          <w:b/>
          <w:sz w:val="28"/>
          <w:szCs w:val="28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</w:rPr>
        <w:t>项目进一步将参数化建模、代理预测和多目标优化集成为可视化软件工具，实现了研究成果的工具化表达，提升了项目成果的展示效果、复用价值和推广意义。</w:t>
      </w:r>
    </w:p>
    <w:p w14:paraId="498FFCC2">
      <w:pPr>
        <w:spacing w:before="200" w:after="120" w:line="400" w:lineRule="exact"/>
        <w:jc w:val="left"/>
      </w:pPr>
      <w:r>
        <w:rPr>
          <w:rFonts w:ascii="黑体" w:hAnsi="黑体" w:eastAsia="黑体"/>
          <w:b/>
          <w:sz w:val="28"/>
          <w:szCs w:val="28"/>
        </w:rPr>
        <w:t>四、应用前景</w:t>
      </w:r>
    </w:p>
    <w:p w14:paraId="4F946B14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本项目建立的厚度参数优化流程可为类似中介机匣、安装机匣或承力环类结构的方案设计提供参考，尤其适用于方案阶段对刚度提升潜力和质量变化趋势的快速评估。</w:t>
      </w:r>
    </w:p>
    <w:p w14:paraId="58117621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软件工具和研究资料也可作为有限元分析、代理模型和多目标优化教学案例，帮助学生理解工程建模、数据驱动预测和结构优化之间的关系。</w:t>
      </w:r>
    </w:p>
    <w:p w14:paraId="3C03CACF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这种研究方式的特点在于，既保留了有限元分析的工程严谨性，又引入了数据驱动与智能优化的高效率，适合用于方案设计阶段的快速比较与预筛选。</w:t>
      </w:r>
    </w:p>
    <w:p w14:paraId="692BBBA6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特别是在本科生创新训练项目背景下，这种“工程问题牵引、数据方法支撑、软件工具落地”的研究模式具有较强示范意义，能够较好体现项目的综合训练价值。</w:t>
      </w:r>
    </w:p>
    <w:p w14:paraId="2404541F">
      <w:pPr>
        <w:spacing w:before="200" w:after="120" w:line="400" w:lineRule="exact"/>
        <w:jc w:val="left"/>
      </w:pPr>
      <w:r>
        <w:rPr>
          <w:rFonts w:ascii="黑体" w:hAnsi="黑体" w:eastAsia="黑体"/>
          <w:b/>
          <w:sz w:val="28"/>
          <w:szCs w:val="28"/>
        </w:rPr>
        <w:t>五、收获和体会</w:t>
      </w:r>
    </w:p>
    <w:p w14:paraId="3882857C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通过本项目，团队对复杂工程结构研究流程形成了更完整的认识，也更加理解有限元分析、数据建模与优化算法之间的衔接关系。</w:t>
      </w:r>
    </w:p>
    <w:p w14:paraId="3057BF4F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项目实施过程中，团队在结构建模、参数整理、数据分析、图表表达和软件实现等方面均获得了明显提升，尤其体会到工程研究不仅要“算得出”，还要“说得清、用得上”。</w:t>
      </w:r>
    </w:p>
    <w:p w14:paraId="6125FA34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总体来看，本项目较好完成了大学生创新训练计划的阶段任务。团队不仅获得了中介机匣优化结果，也积累了将工程问题转化为参数、数据、模型和软件的实践经验，这对后续继续开展相关研究具有直接帮助。</w:t>
      </w:r>
    </w:p>
    <w:p w14:paraId="0D680531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通过这一过程，团队也进一步认识到，工程研究的关键不只是得到一个结果，更在于建立清晰的问题分析路径和可靠的验证机制。这种认识对后续学习和科研训练都有积极作用。</w:t>
      </w:r>
    </w:p>
    <w:p w14:paraId="24DD6D58">
      <w:pPr>
        <w:spacing w:before="200" w:after="120" w:line="400" w:lineRule="exact"/>
        <w:jc w:val="left"/>
      </w:pPr>
      <w:r>
        <w:rPr>
          <w:rFonts w:ascii="黑体" w:hAnsi="黑体" w:eastAsia="黑体"/>
          <w:b/>
          <w:sz w:val="28"/>
          <w:szCs w:val="28"/>
        </w:rPr>
        <w:t>六、展望</w:t>
      </w:r>
    </w:p>
    <w:p w14:paraId="1601B070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在现有工作基础上，后续仍可继续细化中介机匣有限元模型，补充更多载荷组合、边界形式和结构细节，并进一步扩充样本数据库规模，从而提高代理预测在复杂工况下的稳定性和泛化能力。</w:t>
      </w:r>
    </w:p>
    <w:p w14:paraId="63347567">
      <w:pPr>
        <w:spacing w:before="0" w:after="0" w:line="400" w:lineRule="exact"/>
        <w:ind w:firstLine="420"/>
      </w:pPr>
      <w:r>
        <w:rPr>
          <w:rFonts w:ascii="宋体" w:hAnsi="宋体" w:eastAsia="宋体"/>
          <w:sz w:val="21"/>
          <w:szCs w:val="21"/>
        </w:rPr>
        <w:t>软件工具方面，可继续完善批量方案对比、优化结果回代校核、结果自动整理和报告导出等功能，使其更适用于课程训练、方案论证和后续工程分析，进一步提升项目成果的实用价值。</w:t>
      </w:r>
    </w:p>
    <w:sectPr>
      <w:pgSz w:w="11906" w:h="16838"/>
      <w:pgMar w:top="1440" w:right="1440" w:bottom="1440" w:left="144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E1C8E"/>
    <w:rsid w:val="3CC96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3574</Words>
  <Characters>4183</Characters>
  <TotalTime>2</TotalTime>
  <ScaleCrop>false</ScaleCrop>
  <LinksUpToDate>false</LinksUpToDate>
  <CharactersWithSpaces>4418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2026-04-16T00:00:00Z</dcterms:created>
  <dc:creator>Codex</dc:creator>
  <cp:lastModifiedBy>Lucien</cp:lastModifiedBy>
  <dcterms:modified xsi:type="dcterms:W3CDTF">2026-04-16T14:50:33Z</dcterms:modified>
  <dc:title>澶у鐢熷垱鏂拌缁冭鍒掗」鐩爺绌舵€荤粨鎶ュ憡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eyJoZGlkIjoiYTQ0MTk3MGI4NzczZTEzMmU0NzZhMTZkYTcyMzNiOTciLCJ1c2VySWQiOiIyNjA4ODAyNDQifQ==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A78F6605265E4D0FA9D91D2C7F6B1326_13</vt:lpwstr>
  </property>
</Properties>
</file>