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CS 214 Learning Goals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sz w:val="24"/>
          <w:szCs w:val="24"/>
          <w:u w:val="none"/>
        </w:rPr>
      </w:pPr>
      <w:r w:rsidDel="00000000" w:rsidR="00000000" w:rsidRPr="00000000">
        <w:rPr>
          <w:sz w:val="24"/>
          <w:szCs w:val="24"/>
          <w:rtl w:val="0"/>
        </w:rPr>
        <w:t xml:space="preserve">Implementation: can you apply data structures and algorithms concepts to produce implementations that display correct behavior and produce correct results?</w:t>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Assessment: programming homeworks, worksheets, exams, and final project</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Integration: can you combine multiple data structures and algorithms to decompose and solve large and complex problems?</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Theory: can you understand, apply, and contextualize definitions and techniques related to the theoretical aspects of data structures and algorithms: computational complexity, invariants, etc.</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Design: can you produce programs that are efficient, robust, and maintainable, and demonstrate good programming habits and hygiene? And can you make informed decisions when picking data structures and algorithms and evaluating alternatives?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More assessment: self-evaluations, mutation testing, design documents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Reflective Learning: Students can submit each homework again after getting feedback. Also, after each assignment, each student does a self-reflection on their code as well as if their code had key parts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