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ENGL 1400: Intro to Literary Studies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Mary Loeffelholz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Lexos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texts that is used for analysis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the most common words in a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(English: the, a, she, her, it, they,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Lexos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http://lexos.wheatoncollege.edu/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Lexos?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is a powerful web-based tool to help explore different corpora of digitized texts. Lexos provides a workflow of effective practices to help you be cognizant of choices you are making. For Lexos, separate .txt files are required.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provides a step-by-step guide for corpus uploading, preparation, and analysis.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Guide for using Lexos: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 your corpus (your separate .txt.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“Browse” and select your entire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sure all documents in the corpus you want to use are selected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 =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Gray = not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“Prepare” and then “Scrub,” which transforms the text in your corpus and makes choices that will impact your results. Some possibilities: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your letters lowercase (the computer reads upper and lower case letters as two separate characters)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punctuation, which may influence results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a list of words, usually stopwords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you have finished preparations, click “Apply” and wait a few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also download your corpus after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“Visualize” and a drop down of visualization choices will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“Word Cloud” to visualize a word cloud across the entire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“Multi Cloud” to visualize word clouds for each individual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“Rolling Window” allows you to look at word trends across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“Analyze” tab provides a drop down menu of more analytical options for analyzing your texts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includes comparing texts through functions like “Top Words” and “Similarity Query”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just a sample of the wide variety of tools Lexos offers for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rFonts w:ascii="Cambria" w:cs="Cambria" w:eastAsia="Cambria" w:hAnsi="Cambri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 and handouts available at: https://bit.ly/3p6KEeU </w:t>
    </w:r>
  </w:p>
  <w:p w:rsidR="00000000" w:rsidDel="00000000" w:rsidP="00000000" w:rsidRDefault="00000000" w:rsidRPr="00000000" w14:paraId="00000032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Developed by: </w:t>
    </w:r>
    <w:r w:rsidDel="00000000" w:rsidR="00000000" w:rsidRPr="00000000">
      <w:rPr>
        <w:rFonts w:ascii="Cambria" w:cs="Cambria" w:eastAsia="Cambria" w:hAnsi="Cambria"/>
        <w:rtl w:val="0"/>
      </w:rPr>
      <w:t xml:space="preserve">Colleen Nugent, DITI Fellow</w:t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 </w:t>
    </w: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2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b w:val="1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exos.wheatoncollege.edu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Wf2bidOYfiS352iukg2YgbkTw==">AMUW2mVrQdg5B+n0fX/Z3PoWsRL8EzmI7r+TkQx1H5u/ccqFYGi30ya3oL8UlUXRTC8wpDSNHfojNyUdpJTXH1IHPXohY7jTXfUHc8ZamLLIKXDl2PTh65s=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