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ENGL 1400: Intro to Literary Studies</w:t>
      </w:r>
    </w:p>
    <w:p w:rsidR="00000000" w:rsidDel="00000000" w:rsidP="00000000" w:rsidRDefault="00000000" w:rsidRPr="00000000" w14:paraId="00000003">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Mary Loeffelholz</w:t>
      </w:r>
    </w:p>
    <w:p w:rsidR="00000000" w:rsidDel="00000000" w:rsidP="00000000" w:rsidRDefault="00000000" w:rsidRPr="00000000" w14:paraId="00000004">
      <w:pPr>
        <w:pageBreakBefore w:val="0"/>
        <w:spacing w:line="240" w:lineRule="auto"/>
        <w:ind w:lef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Text Analysis using Voyant Tools</w:t>
      </w:r>
    </w:p>
    <w:p w:rsidR="00000000" w:rsidDel="00000000" w:rsidP="00000000" w:rsidRDefault="00000000" w:rsidRPr="00000000" w14:paraId="00000005">
      <w:pPr>
        <w:pageBreakBefore w:val="0"/>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Important Terminology</w:t>
      </w:r>
    </w:p>
    <w:p w:rsidR="00000000" w:rsidDel="00000000" w:rsidP="00000000" w:rsidRDefault="00000000" w:rsidRPr="00000000" w14:paraId="00000008">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Corpus/corpora (pl.): a text or collection of texts that is used for analysis.</w:t>
      </w:r>
    </w:p>
    <w:p w:rsidR="00000000" w:rsidDel="00000000" w:rsidP="00000000" w:rsidRDefault="00000000" w:rsidRPr="00000000" w14:paraId="00000009">
      <w:pPr>
        <w:pageBreakBefore w:val="0"/>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One could create a corpus of all of Frederick Douglass’  speeches to trace his language use over time.</w:t>
      </w:r>
    </w:p>
    <w:p w:rsidR="00000000" w:rsidDel="00000000" w:rsidP="00000000" w:rsidRDefault="00000000" w:rsidRPr="00000000" w14:paraId="0000000A">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nGram: A continuous sequence of n items in a text. For example, in Frederick Douglass’ speeches, a bigram (or 2 continuous words) could be ‘United States.’</w:t>
      </w:r>
    </w:p>
    <w:p w:rsidR="00000000" w:rsidDel="00000000" w:rsidP="00000000" w:rsidRDefault="00000000" w:rsidRPr="00000000" w14:paraId="0000000B">
      <w:pPr>
        <w:pageBreakBefore w:val="0"/>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Voyant Tools website: </w:t>
      </w:r>
      <w:hyperlink r:id="rId7">
        <w:r w:rsidDel="00000000" w:rsidR="00000000" w:rsidRPr="00000000">
          <w:rPr>
            <w:rFonts w:ascii="Cambria" w:cs="Cambria" w:eastAsia="Cambria" w:hAnsi="Cambria"/>
            <w:b w:val="1"/>
            <w:color w:val="1155cc"/>
            <w:sz w:val="24"/>
            <w:szCs w:val="24"/>
            <w:u w:val="single"/>
            <w:rtl w:val="0"/>
          </w:rPr>
          <w:t xml:space="preserve">https://voyant-tools.org/</w:t>
        </w:r>
      </w:hyperlink>
      <w:r w:rsidDel="00000000" w:rsidR="00000000" w:rsidRPr="00000000">
        <w:rPr>
          <w:rtl w:val="0"/>
        </w:rPr>
      </w:r>
    </w:p>
    <w:p w:rsidR="00000000" w:rsidDel="00000000" w:rsidP="00000000" w:rsidRDefault="00000000" w:rsidRPr="00000000" w14:paraId="0000000D">
      <w:pPr>
        <w:pageBreakBefore w:val="0"/>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E">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Voyant?</w:t>
      </w:r>
    </w:p>
    <w:p w:rsidR="00000000" w:rsidDel="00000000" w:rsidP="00000000" w:rsidRDefault="00000000" w:rsidRPr="00000000" w14:paraId="0000000F">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Voyant is a powerful web-based text analysis platform “designed to facilitate reading and interpretive practices for digital humanities students and scholars as well as for the general public.” With Voyant, you can analyze one or more text files and use multiple visualization tools. Voyant can read .pdf and .doc, but .txt is recommended.</w:t>
      </w:r>
    </w:p>
    <w:p w:rsidR="00000000" w:rsidDel="00000000" w:rsidP="00000000" w:rsidRDefault="00000000" w:rsidRPr="00000000" w14:paraId="00000010">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ageBreakBefore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Voyant documentation see: </w:t>
      </w:r>
      <w:hyperlink r:id="rId8">
        <w:r w:rsidDel="00000000" w:rsidR="00000000" w:rsidRPr="00000000">
          <w:rPr>
            <w:rFonts w:ascii="Cambria" w:cs="Cambria" w:eastAsia="Cambria" w:hAnsi="Cambria"/>
            <w:color w:val="1155cc"/>
            <w:sz w:val="24"/>
            <w:szCs w:val="24"/>
            <w:u w:val="single"/>
            <w:rtl w:val="0"/>
          </w:rPr>
          <w:t xml:space="preserve">https://voyant-tools.org/docs/#!/guide/about</w:t>
        </w:r>
      </w:hyperlink>
      <w:r w:rsidDel="00000000" w:rsidR="00000000" w:rsidRPr="00000000">
        <w:rPr>
          <w:rtl w:val="0"/>
        </w:rPr>
      </w:r>
    </w:p>
    <w:p w:rsidR="00000000" w:rsidDel="00000000" w:rsidP="00000000" w:rsidRDefault="00000000" w:rsidRPr="00000000" w14:paraId="00000012">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Voyant:</w:t>
      </w:r>
    </w:p>
    <w:p w:rsidR="00000000" w:rsidDel="00000000" w:rsidP="00000000" w:rsidRDefault="00000000" w:rsidRPr="00000000" w14:paraId="00000014">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Voyant front page, click on ‘upload’ and navigate to the chosen corpus to upload text files—then click on ‘reveal.’</w:t>
      </w:r>
    </w:p>
    <w:p w:rsidR="00000000" w:rsidDel="00000000" w:rsidP="00000000" w:rsidRDefault="00000000" w:rsidRPr="00000000" w14:paraId="00000015">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paste URLs or full text into the textbox. </w:t>
      </w:r>
    </w:p>
    <w:p w:rsidR="00000000" w:rsidDel="00000000" w:rsidP="00000000" w:rsidRDefault="00000000" w:rsidRPr="00000000" w14:paraId="00000016">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Advanced options and help can be found in the top right of the text box.</w:t>
      </w: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are given in five default panes that can be changed.</w:t>
      </w:r>
    </w:p>
    <w:p w:rsidR="00000000" w:rsidDel="00000000" w:rsidP="00000000" w:rsidRDefault="00000000" w:rsidRPr="00000000" w14:paraId="00000018">
      <w:pPr>
        <w:pageBreakBefore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change a pane:</w:t>
      </w:r>
    </w:p>
    <w:p w:rsidR="00000000" w:rsidDel="00000000" w:rsidP="00000000" w:rsidRDefault="00000000" w:rsidRPr="00000000" w14:paraId="00000019">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Hover mouse over one of the panes.</w:t>
      </w:r>
    </w:p>
    <w:p w:rsidR="00000000" w:rsidDel="00000000" w:rsidP="00000000" w:rsidRDefault="00000000" w:rsidRPr="00000000" w14:paraId="0000001A">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panes button: </w:t>
      </w:r>
      <w:r w:rsidDel="00000000" w:rsidR="00000000" w:rsidRPr="00000000">
        <w:rPr>
          <w:rFonts w:ascii="Cambria" w:cs="Cambria" w:eastAsia="Cambria" w:hAnsi="Cambria"/>
          <w:sz w:val="24"/>
          <w:szCs w:val="24"/>
        </w:rPr>
        <w:drawing>
          <wp:inline distB="114300" distT="114300" distL="114300" distR="114300">
            <wp:extent cx="190500" cy="20574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dropdown menu to navigate to different tools.</w:t>
      </w:r>
    </w:p>
    <w:p w:rsidR="00000000" w:rsidDel="00000000" w:rsidP="00000000" w:rsidRDefault="00000000" w:rsidRPr="00000000" w14:paraId="0000001C">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“Trends” tool allows you to examine the usage for a word or set of words across a text or corpus.</w:t>
      </w:r>
      <w:r w:rsidDel="00000000" w:rsidR="00000000" w:rsidRPr="00000000">
        <w:rPr>
          <w:rtl w:val="0"/>
        </w:rPr>
      </w:r>
    </w:p>
    <w:p w:rsidR="00000000" w:rsidDel="00000000" w:rsidP="00000000" w:rsidRDefault="00000000" w:rsidRPr="00000000" w14:paraId="0000001D">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Appears in the top-right corner in the default Voyant results display.</w:t>
      </w:r>
      <w:r w:rsidDel="00000000" w:rsidR="00000000" w:rsidRPr="00000000">
        <w:rPr>
          <w:rtl w:val="0"/>
        </w:rPr>
      </w:r>
    </w:p>
    <w:p w:rsidR="00000000" w:rsidDel="00000000" w:rsidP="00000000" w:rsidRDefault="00000000" w:rsidRPr="00000000" w14:paraId="0000001E">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will default to showing the most frequent (non-stopwords) terms in your input document(s).</w:t>
      </w:r>
      <w:r w:rsidDel="00000000" w:rsidR="00000000" w:rsidRPr="00000000">
        <w:rPr>
          <w:rtl w:val="0"/>
        </w:rPr>
      </w:r>
    </w:p>
    <w:p w:rsidR="00000000" w:rsidDel="00000000" w:rsidP="00000000" w:rsidRDefault="00000000" w:rsidRPr="00000000" w14:paraId="0000001F">
      <w:pPr>
        <w:pageBreakBefore w:val="0"/>
        <w:numPr>
          <w:ilvl w:val="2"/>
          <w:numId w:val="2"/>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may fill in any terms you would like to query in the search box.</w:t>
      </w:r>
    </w:p>
    <w:p w:rsidR="00000000" w:rsidDel="00000000" w:rsidP="00000000" w:rsidRDefault="00000000" w:rsidRPr="00000000" w14:paraId="00000020">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experiment with the settings using the gear icon.</w:t>
      </w: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“Contexts” tool allows you to examine keywords in context.</w:t>
      </w:r>
      <w:r w:rsidDel="00000000" w:rsidR="00000000" w:rsidRPr="00000000">
        <w:rPr>
          <w:rtl w:val="0"/>
        </w:rPr>
      </w:r>
    </w:p>
    <w:p w:rsidR="00000000" w:rsidDel="00000000" w:rsidP="00000000" w:rsidRDefault="00000000" w:rsidRPr="00000000" w14:paraId="00000022">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Appears in the bottom-right corner in the default results.</w:t>
      </w:r>
      <w:r w:rsidDel="00000000" w:rsidR="00000000" w:rsidRPr="00000000">
        <w:rPr>
          <w:rtl w:val="0"/>
        </w:rPr>
      </w:r>
    </w:p>
    <w:p w:rsidR="00000000" w:rsidDel="00000000" w:rsidP="00000000" w:rsidRDefault="00000000" w:rsidRPr="00000000" w14:paraId="00000023">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 input query terms in the search box and use the arrows to sort by the contexts to the left or right of your input term.</w:t>
      </w:r>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Not the most sophisticated way to examine words in context, but gives a sense of how this approach works.</w:t>
      </w: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“Wordcloud” tool allows you to visualize the most frequently used words in a corpus.</w:t>
      </w:r>
      <w:r w:rsidDel="00000000" w:rsidR="00000000" w:rsidRPr="00000000">
        <w:rPr>
          <w:rtl w:val="0"/>
        </w:rPr>
      </w:r>
    </w:p>
    <w:p w:rsidR="00000000" w:rsidDel="00000000" w:rsidP="00000000" w:rsidRDefault="00000000" w:rsidRPr="00000000" w14:paraId="00000026">
      <w:pPr>
        <w:pageBreakBefore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Appears in the top-left corner in the default results.</w:t>
      </w:r>
      <w:r w:rsidDel="00000000" w:rsidR="00000000" w:rsidRPr="00000000">
        <w:rPr>
          <w:rtl w:val="0"/>
        </w:rPr>
      </w:r>
    </w:p>
    <w:p w:rsidR="00000000" w:rsidDel="00000000" w:rsidP="00000000" w:rsidRDefault="00000000" w:rsidRPr="00000000" w14:paraId="00000027">
      <w:pPr>
        <w:pageBreakBefore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Voyant offers many other tools to explore.</w:t>
      </w:r>
      <w:r w:rsidDel="00000000" w:rsidR="00000000" w:rsidRPr="00000000">
        <w:rPr>
          <w:rtl w:val="0"/>
        </w:rPr>
      </w:r>
    </w:p>
    <w:p w:rsidR="00000000" w:rsidDel="00000000" w:rsidP="00000000" w:rsidRDefault="00000000" w:rsidRPr="00000000" w14:paraId="00000028">
      <w:pPr>
        <w:pageBreakBefore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Cambria" w:cs="Cambria" w:eastAsia="Cambria" w:hAnsi="Cambria"/>
          <w:b w:val="1"/>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center"/>
      <w:rPr>
        <w:rFonts w:ascii="Cambria" w:cs="Cambria" w:eastAsia="Cambria" w:hAnsi="Cambria"/>
      </w:rPr>
    </w:pPr>
    <w:r w:rsidDel="00000000" w:rsidR="00000000" w:rsidRPr="00000000">
      <w:rPr>
        <w:rFonts w:ascii="Cambria" w:cs="Cambria" w:eastAsia="Cambria" w:hAnsi="Cambria"/>
        <w:rtl w:val="0"/>
      </w:rPr>
      <w:t xml:space="preserve">Find these slides and more at: </w:t>
    </w:r>
    <w:hyperlink r:id="rId1">
      <w:r w:rsidDel="00000000" w:rsidR="00000000" w:rsidRPr="00000000">
        <w:rPr>
          <w:rFonts w:ascii="Cambria" w:cs="Cambria" w:eastAsia="Cambria" w:hAnsi="Cambria"/>
          <w:color w:val="1155cc"/>
          <w:u w:val="single"/>
          <w:rtl w:val="0"/>
        </w:rPr>
        <w:t xml:space="preserve">https://bit.ly/3p6KEeU</w:t>
      </w:r>
    </w:hyperlink>
    <w:r w:rsidDel="00000000" w:rsidR="00000000" w:rsidRPr="00000000">
      <w:rPr>
        <w:rtl w:val="0"/>
      </w:rPr>
    </w:r>
  </w:p>
  <w:p w:rsidR="00000000" w:rsidDel="00000000" w:rsidP="00000000" w:rsidRDefault="00000000" w:rsidRPr="00000000" w14:paraId="0000002F">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Colleen Nugent, DITI Fellow</w:t>
    </w:r>
  </w:p>
  <w:p w:rsidR="00000000" w:rsidDel="00000000" w:rsidP="00000000" w:rsidRDefault="00000000" w:rsidRPr="00000000" w14:paraId="00000030">
    <w:pPr>
      <w:jc w:val="center"/>
      <w:rPr/>
    </w:pPr>
    <w:r w:rsidDel="00000000" w:rsidR="00000000" w:rsidRPr="00000000">
      <w:rPr>
        <w:rFonts w:ascii="Cambria" w:cs="Cambria" w:eastAsia="Cambria" w:hAnsi="Cambria"/>
        <w:b w:val="1"/>
        <w:rtl w:val="0"/>
      </w:rPr>
      <w:t xml:space="preserve">Questions? Contact us: </w:t>
    </w:r>
    <w:hyperlink r:id="rId2">
      <w:r w:rsidDel="00000000" w:rsidR="00000000" w:rsidRPr="00000000">
        <w:rPr>
          <w:rFonts w:ascii="Cambria" w:cs="Cambria" w:eastAsia="Cambria" w:hAnsi="Cambria"/>
          <w:color w:val="1155cc"/>
          <w:u w:val="single"/>
          <w:rtl w:val="0"/>
        </w:rPr>
        <w:t xml:space="preserve">nulab@northeastern.edu</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b w:val="1"/>
        <w:sz w:val="24"/>
        <w:szCs w:val="24"/>
      </w:rPr>
    </w:pPr>
    <w:r w:rsidDel="00000000" w:rsidR="00000000" w:rsidRPr="00000000">
      <w:rPr>
        <w:rFonts w:ascii="Cambria" w:cs="Cambria" w:eastAsia="Cambria" w:hAnsi="Cambria"/>
        <w:b w:val="1"/>
        <w:sz w:val="24"/>
        <w:szCs w:val="24"/>
        <w:rtl w:val="0"/>
      </w:rPr>
      <w:t xml:space="preserve">Digital Integration Teaching Initiative </w:t>
    </w:r>
    <w:r w:rsidDel="00000000" w:rsidR="00000000" w:rsidRPr="00000000">
      <w:rPr>
        <w:b w:val="1"/>
        <w:sz w:val="24"/>
        <w:szCs w:val="24"/>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3590925</wp:posOffset>
          </wp:positionH>
          <wp:positionV relativeFrom="paragraph">
            <wp:posOffset>-95248</wp:posOffset>
          </wp:positionV>
          <wp:extent cx="2224088" cy="372091"/>
          <wp:effectExtent b="0" l="0" r="0" t="0"/>
          <wp:wrapSquare wrapText="bothSides" distB="57150" distT="57150" distL="57150" distR="57150"/>
          <wp:docPr descr="NU_NULab_Rg_CMYK.jpg" id="3"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2224088" cy="372091"/>
                  </a:xfrm>
                  <a:prstGeom prst="rect"/>
                  <a:ln/>
                </pic:spPr>
              </pic:pic>
            </a:graphicData>
          </a:graphic>
        </wp:anchor>
      </w:drawing>
    </w:r>
  </w:p>
  <w:p w:rsidR="00000000" w:rsidDel="00000000" w:rsidP="00000000" w:rsidRDefault="00000000" w:rsidRPr="00000000" w14:paraId="0000002C">
    <w:pPr>
      <w:rPr>
        <w:b w:val="1"/>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w:t>
      </w:r>
    </w:hyperlink>
    <w:r w:rsidDel="00000000" w:rsidR="00000000" w:rsidRPr="00000000">
      <w:rPr>
        <w:b w:val="1"/>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oyant-tools.org/" TargetMode="External"/><Relationship Id="rId8" Type="http://schemas.openxmlformats.org/officeDocument/2006/relationships/hyperlink" Target="https://voyant-tools.org/docs/#!/guide/abou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bit.ly/3p6KEeU" TargetMode="External"/><Relationship Id="rId2" Type="http://schemas.openxmlformats.org/officeDocument/2006/relationships/hyperlink" Target="mailto:nulab@northeaster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WbM2sovoR4PlGOqEAVzPC+im2g==">AMUW2mWf/a578T7H/ngzmqz8D7QefJM2AydfHI10B5EALBNtJYsYouVmYP7gziRagkx2PRkfVZPr6RqbxiHtl8dhu4ZYyrftSIAzLCr+TiVIzIiWvoDDydM=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