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left="720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POLS 7346 Resilient Cities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Daniel Aldrich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Text Analysis using Voyant Tools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Important Terminology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Corpus/corpora: a text or collection of texts that is used for analysis.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Example: One could could create corpus of all of Frederick Douglass’  speeches to trace his language over his speeches given in Boston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nGram: A continuous sequence of n items in a text. For example, in Frederick Douglass’ speeches, a bigram (or 2 continuous words) could be ‘United States.’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Voyant Tools website: </w:t>
      </w:r>
      <w:hyperlink r:id="rId7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4"/>
            <w:szCs w:val="24"/>
            <w:u w:val="single"/>
            <w:rtl w:val="0"/>
          </w:rPr>
          <w:t xml:space="preserve">https://voyant-tools.org/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What is Voyant?</w:t>
      </w:r>
    </w:p>
    <w:p w:rsidR="00000000" w:rsidDel="00000000" w:rsidP="00000000" w:rsidRDefault="00000000" w:rsidRPr="00000000" w14:paraId="0000000F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Voyant is a powerful web-based text analysis platform “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designed to facilitate reading and interpretive practices for digital humanities students and scholars as well as for the general public.”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With Voyant, you can analyze one or more text files and use multiple visualization tools. Voyant can read .pdf and .doc, but .txt is recommended.</w:t>
      </w:r>
    </w:p>
    <w:p w:rsidR="00000000" w:rsidDel="00000000" w:rsidP="00000000" w:rsidRDefault="00000000" w:rsidRPr="00000000" w14:paraId="00000010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 Voyant documentation see: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https://voyant-tools.org/docs/#!/guide/about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sing Voyant: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On the Voyant front page, click on ‘upload’ and navigate to the chosen corpus to upload text files - then click on ‘reveal.’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Alternatively paste URLs or full text into the textbox 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Advanced options and help can be found in the top right of the text box.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results are given in five default panes that can be changed.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change a pane: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Hover mouse over one of the panes.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Click the panes button: </w:t>
      </w: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190500" cy="20574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5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 the dropdown menu to navigate to different tools.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“Trends” tool allows you to examine the usage for a word or set of words across a text or corpus.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Appears in the top-right corner in the default Voyant results display.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It will default to showing the most frequent (non-stopwords) terms in your input document(s).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You may fill in any terms you would like to query in the search box.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You can experiment with the settings using the gear icon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“Contexts” tool allows you to examine keywords in context.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Appears in the bottom-right corner in the default results.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You can input query terms in the search box and use the arrows to sort by the contexts to the left or right of your input term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Not the most sophisticated way to examine words in context, but gives a sense of how this approach works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“Wordcloud” tool allows you to visualize the most frequently used words in a corpus.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Appears in the top-left corner in the default results.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Voyant offers other tools to explore</w:t>
      </w:r>
    </w:p>
    <w:p w:rsidR="00000000" w:rsidDel="00000000" w:rsidP="00000000" w:rsidRDefault="00000000" w:rsidRPr="00000000" w14:paraId="00000028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spacing w:line="240" w:lineRule="auto"/>
      <w:rPr>
        <w:rFonts w:ascii="Cambria" w:cs="Cambria" w:eastAsia="Cambria" w:hAnsi="Cambria"/>
        <w:b w:val="1"/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jc w:val="center"/>
      <w:rPr>
        <w:rFonts w:ascii="Cambria" w:cs="Cambria" w:eastAsia="Cambria" w:hAnsi="Cambria"/>
        <w:color w:val="ff0000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Find these slides and more at: </w:t>
    </w:r>
    <w:r w:rsidDel="00000000" w:rsidR="00000000" w:rsidRPr="00000000">
      <w:rPr>
        <w:rFonts w:ascii="Cambria" w:cs="Cambria" w:eastAsia="Cambria" w:hAnsi="Cambria"/>
        <w:color w:val="ff0000"/>
        <w:rtl w:val="0"/>
      </w:rPr>
      <w:t xml:space="preserve">LINK</w:t>
    </w:r>
  </w:p>
  <w:p w:rsidR="00000000" w:rsidDel="00000000" w:rsidP="00000000" w:rsidRDefault="00000000" w:rsidRPr="00000000" w14:paraId="0000002F">
    <w:pPr>
      <w:jc w:val="center"/>
      <w:rPr>
        <w:rFonts w:ascii="Cambria" w:cs="Cambria" w:eastAsia="Cambria" w:hAnsi="Cambria"/>
        <w:color w:val="ff0000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Questions? Contact us: </w:t>
    </w:r>
    <w:hyperlink r:id="rId1">
      <w:r w:rsidDel="00000000" w:rsidR="00000000" w:rsidRPr="00000000">
        <w:rPr>
          <w:rFonts w:ascii="Cambria" w:cs="Cambria" w:eastAsia="Cambria" w:hAnsi="Cambria"/>
          <w:color w:val="1155cc"/>
          <w:u w:val="single"/>
          <w:rtl w:val="0"/>
        </w:rPr>
        <w:t xml:space="preserve">nulab@northeastern.edu</w:t>
      </w:r>
    </w:hyperlink>
    <w:r w:rsidDel="00000000" w:rsidR="00000000" w:rsidRPr="00000000">
      <w:rPr>
        <w:rFonts w:ascii="Cambria" w:cs="Cambria" w:eastAsia="Cambria" w:hAnsi="Cambria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>
        <w:b w:val="1"/>
        <w:sz w:val="24"/>
        <w:szCs w:val="24"/>
      </w:rPr>
    </w:pP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Digital Integration Teaching Initiative </w:t>
    </w:r>
    <w:r w:rsidDel="00000000" w:rsidR="00000000" w:rsidRPr="00000000">
      <w:rPr>
        <w:b w:val="1"/>
        <w:sz w:val="24"/>
        <w:szCs w:val="24"/>
        <w:rtl w:val="0"/>
      </w:rPr>
      <w:t xml:space="preserve">  </w:t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3590925</wp:posOffset>
          </wp:positionH>
          <wp:positionV relativeFrom="paragraph">
            <wp:posOffset>-95249</wp:posOffset>
          </wp:positionV>
          <wp:extent cx="2224088" cy="372091"/>
          <wp:effectExtent b="0" l="0" r="0" t="0"/>
          <wp:wrapSquare wrapText="bothSides" distB="57150" distT="57150" distL="57150" distR="57150"/>
          <wp:docPr descr="NU_NULab_Rg_CMYK.jpg" id="2" name="image1.jpg"/>
          <a:graphic>
            <a:graphicData uri="http://schemas.openxmlformats.org/drawingml/2006/picture">
              <pic:pic>
                <pic:nvPicPr>
                  <pic:cNvPr descr="NU_NULab_Rg_CMYK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4088" cy="37209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C">
    <w:pPr>
      <w:rPr>
        <w:b w:val="1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Schedule a meeting: </w:t>
    </w:r>
    <w:hyperlink r:id="rId2">
      <w:r w:rsidDel="00000000" w:rsidR="00000000" w:rsidRPr="00000000">
        <w:rPr>
          <w:rFonts w:ascii="Cambria" w:cs="Cambria" w:eastAsia="Cambria" w:hAnsi="Cambria"/>
          <w:color w:val="1155cc"/>
          <w:u w:val="single"/>
          <w:rtl w:val="0"/>
        </w:rPr>
        <w:t xml:space="preserve">bit.ly/diti-office-hours</w:t>
      </w:r>
    </w:hyperlink>
    <w:r w:rsidDel="00000000" w:rsidR="00000000" w:rsidRPr="00000000">
      <w:rPr>
        <w:b w:val="1"/>
        <w:rtl w:val="0"/>
      </w:rPr>
      <w:t xml:space="preserve">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mailto:daniel.aldrich@gmail.com" TargetMode="External"/><Relationship Id="rId7" Type="http://schemas.openxmlformats.org/officeDocument/2006/relationships/hyperlink" Target="https://voyant-tools.org/" TargetMode="External"/><Relationship Id="rId8" Type="http://schemas.openxmlformats.org/officeDocument/2006/relationships/hyperlink" Target="https://voyant-tools.org/docs/#!/guide/about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nulab@northeastern.edu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hyperlink" Target="http://bit.ly/diti-office-hou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