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9BEF0" w14:textId="241907A3" w:rsidR="0030507B" w:rsidRPr="0030507B" w:rsidRDefault="0030507B" w:rsidP="0030507B">
      <w:pPr>
        <w:rPr>
          <w:color w:val="EE0000"/>
        </w:rPr>
      </w:pPr>
      <w:r w:rsidRPr="0030507B">
        <w:rPr>
          <w:color w:val="EE0000"/>
        </w:rPr>
        <w:t>SENTETİK VERİ</w:t>
      </w:r>
    </w:p>
    <w:p w14:paraId="439B8DE7" w14:textId="0884EAB5" w:rsidR="0030507B" w:rsidRDefault="0030507B" w:rsidP="0030507B">
      <w:r>
        <w:t>Oluşturulan sentetik veri analizinde günlük müşteri sayısı ile satis sayısı arasındaanlamlı ilişki olduğu gözlenmiştir.(p&lt;0.05)</w:t>
      </w:r>
      <w:r w:rsidR="00A21EE3">
        <w:t xml:space="preserve"> ve adjusted R-squared ise açıklayacılık gücünün yüksek olduğu görülmektedir.</w:t>
      </w:r>
      <w:r>
        <w:t>Kolerasyon analizi sonucuna göre 0.</w:t>
      </w:r>
      <w:r>
        <w:t>90</w:t>
      </w:r>
      <w:r>
        <w:t xml:space="preserve"> değeri iki değişken arasında pozitifi ve 1 yakın bir değer olmsı sebebi ile güçlü bir ilişki olduğu</w:t>
      </w:r>
      <w:r>
        <w:t xml:space="preserve"> </w:t>
      </w:r>
      <w:r>
        <w:t>görülmektedir. Normal dağılım kontrolü kapsamında q-q plot grafikleri ile incelenmiştir,</w:t>
      </w:r>
      <w:r>
        <w:t>h</w:t>
      </w:r>
      <w:r>
        <w:t>er iki değişkende normal dağılıma uygun olduğunu küçük sapmalar ise genel dağılımı çok fazla</w:t>
      </w:r>
      <w:r>
        <w:t xml:space="preserve"> </w:t>
      </w:r>
      <w:r>
        <w:t>etkilememektedir.Kurulan regresyon modelinde bağımsız değişken olan günlük müşteri sayısının</w:t>
      </w:r>
      <w:r>
        <w:t xml:space="preserve"> </w:t>
      </w:r>
      <w:r>
        <w:t>satış sayısında anlamlı bir etkisi var oldığu görülmektedir.Sonuç oalrak,yapılan analiz sonuçları müşteri yoğunluğu artınca satış performansı üzerinde</w:t>
      </w:r>
      <w:r>
        <w:t xml:space="preserve"> </w:t>
      </w:r>
      <w:r>
        <w:t>önemli beliryeci ortaya koymaktadır.IQR yöntemi ile aykırı değerler tespit edildiğinde 1 adet aykırı değer tespit edilmiştir</w:t>
      </w:r>
      <w:r>
        <w:t>.</w:t>
      </w:r>
      <w:r>
        <w:t>Bu değer alt ve üst sınırların dışında kaldığı için aykırı gözlem olarak değerlenmiştir.</w:t>
      </w:r>
    </w:p>
    <w:sectPr w:rsidR="003050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07B"/>
    <w:rsid w:val="002003E6"/>
    <w:rsid w:val="0030507B"/>
    <w:rsid w:val="00A21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BF079B6"/>
  <w15:chartTrackingRefBased/>
  <w15:docId w15:val="{DCBFDE2E-16FA-AF4E-A111-9DBFB4B86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05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05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050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05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050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05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05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05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05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050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050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050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0507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0507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0507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0507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0507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0507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05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05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05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05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05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0507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0507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0507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050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0507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050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Esranur ERMİŞ</dc:creator>
  <cp:keywords/>
  <dc:description/>
  <cp:lastModifiedBy>Esranur ERMİŞ</cp:lastModifiedBy>
  <cp:revision>1</cp:revision>
  <dcterms:created xsi:type="dcterms:W3CDTF">2026-04-07T22:05:00Z</dcterms:created>
  <dcterms:modified xsi:type="dcterms:W3CDTF">2026-04-07T22:19:00Z</dcterms:modified>
</cp:coreProperties>
</file>