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655686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Introduction</w:t>
      </w:r>
    </w:p>
    <w:p w:rsidR="00F61434" w:rsidRPr="00655686" w:rsidRDefault="00F61434" w:rsidP="00655686">
      <w:pPr>
        <w:shd w:val="clear" w:color="auto" w:fill="FFFFFF"/>
        <w:tabs>
          <w:tab w:val="left" w:pos="10773"/>
        </w:tabs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655686" w:rsidRDefault="00655686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655686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Les tolérances dimensionnelles usuelles (ajustements...) ne suffisent pas toujours pour définir rigoureusement la forme géométrique d'un objet. Malgré la cotation tolérancée des dimensions, des défauts géométriques nuisibles au fonctionnement et à l'assemblage sont toujo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urs possibles.</w:t>
      </w:r>
    </w:p>
    <w:p w:rsidR="0051677C" w:rsidRDefault="0051677C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51677C" w:rsidRPr="0051677C" w:rsidRDefault="0051677C" w:rsidP="00655686">
      <w:pPr>
        <w:ind w:left="567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fr-FR"/>
        </w:rPr>
      </w:pPr>
      <w:r w:rsidRPr="0051677C">
        <w:rPr>
          <w:rFonts w:ascii="Arial" w:eastAsia="Times New Roman" w:hAnsi="Arial" w:cs="Arial"/>
          <w:b/>
          <w:color w:val="000000"/>
          <w:sz w:val="24"/>
          <w:szCs w:val="24"/>
          <w:lang w:eastAsia="fr-FR"/>
        </w:rPr>
        <w:t>Exemple de tolérance :</w:t>
      </w:r>
    </w:p>
    <w:p w:rsidR="00E7636D" w:rsidRDefault="00E7636D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E7636D" w:rsidRDefault="00030791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909" type="#_x0000_t32" style="position:absolute;left:0;text-align:left;margin-left:200.4pt;margin-top:2.3pt;width:0;height:109.95pt;z-index:251661824" o:connectortype="straight"/>
        </w:pict>
      </w:r>
      <w:r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08" type="#_x0000_t202" style="position:absolute;left:0;text-align:left;margin-left:13.65pt;margin-top:9.8pt;width:550.5pt;height:109.95pt;z-index:251660800" filled="f" stroked="f">
            <v:textbox>
              <w:txbxContent>
                <w:p w:rsidR="00E7636D" w:rsidRDefault="00E7636D" w:rsidP="00E7636D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408420" cy="1312086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8420" cy="13120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w:pict>
          <v:shape id="_x0000_s1910" type="#_x0000_t202" style="position:absolute;left:0;text-align:left;margin-left:46.8pt;margin-top:.8pt;width:509.25pt;height:25.5pt;z-index:251662848" filled="f" stroked="f">
            <v:textbox>
              <w:txbxContent>
                <w:p w:rsidR="00E7636D" w:rsidRPr="00E7636D" w:rsidRDefault="00E7636D">
                  <w:pPr>
                    <w:rPr>
                      <w:rFonts w:ascii="Arial" w:hAnsi="Arial" w:cs="Arial"/>
                      <w:b/>
                      <w:color w:val="1F497D" w:themeColor="text2"/>
                      <w:sz w:val="20"/>
                      <w:szCs w:val="20"/>
                    </w:rPr>
                  </w:pPr>
                  <w:r w:rsidRPr="00E7636D">
                    <w:rPr>
                      <w:rFonts w:ascii="Arial" w:hAnsi="Arial" w:cs="Arial"/>
                      <w:b/>
                      <w:color w:val="1F497D" w:themeColor="text2"/>
                      <w:sz w:val="20"/>
                      <w:szCs w:val="20"/>
                    </w:rPr>
                    <w:t xml:space="preserve">Spécification dessin                              </w:t>
                  </w:r>
                  <w:r>
                    <w:rPr>
                      <w:rFonts w:ascii="Arial" w:hAnsi="Arial" w:cs="Arial"/>
                      <w:b/>
                      <w:color w:val="1F497D" w:themeColor="text2"/>
                      <w:sz w:val="20"/>
                      <w:szCs w:val="20"/>
                    </w:rPr>
                    <w:t xml:space="preserve">                                     </w:t>
                  </w:r>
                  <w:r w:rsidRPr="00E7636D">
                    <w:rPr>
                      <w:rFonts w:ascii="Arial" w:hAnsi="Arial" w:cs="Arial"/>
                      <w:b/>
                      <w:color w:val="1F497D" w:themeColor="text2"/>
                      <w:sz w:val="20"/>
                      <w:szCs w:val="20"/>
                    </w:rPr>
                    <w:t>Défauts possibles</w:t>
                  </w:r>
                </w:p>
              </w:txbxContent>
            </v:textbox>
          </v:shape>
        </w:pict>
      </w:r>
    </w:p>
    <w:p w:rsidR="00E7636D" w:rsidRDefault="00E7636D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E7636D" w:rsidRDefault="00E7636D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E7636D" w:rsidRDefault="00E7636D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E7636D" w:rsidRDefault="00E7636D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E7636D" w:rsidRDefault="00E7636D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E7636D" w:rsidRDefault="00030791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w:pict>
          <v:shape id="_x0000_s1911" type="#_x0000_t202" style="position:absolute;left:0;text-align:left;margin-left:228.9pt;margin-top:11.45pt;width:311.25pt;height:25.5pt;z-index:251663872" filled="f" stroked="f">
            <v:textbox>
              <w:txbxContent>
                <w:p w:rsidR="00E7636D" w:rsidRPr="00E7636D" w:rsidRDefault="00E7636D" w:rsidP="00E7636D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      </w:t>
                  </w:r>
                  <w:r w:rsidRPr="00E7636D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Parallélisme 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                                        </w:t>
                  </w:r>
                  <w:r w:rsidRPr="00E7636D">
                    <w:rPr>
                      <w:rFonts w:ascii="Arial" w:hAnsi="Arial" w:cs="Arial"/>
                      <w:b/>
                      <w:sz w:val="20"/>
                      <w:szCs w:val="20"/>
                    </w:rPr>
                    <w:t>Planéité</w:t>
                  </w:r>
                </w:p>
              </w:txbxContent>
            </v:textbox>
          </v:shape>
        </w:pict>
      </w:r>
    </w:p>
    <w:p w:rsidR="00E7636D" w:rsidRDefault="00E7636D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E7636D" w:rsidRDefault="00E7636D" w:rsidP="00655686">
      <w:pPr>
        <w:ind w:left="567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655686" w:rsidRPr="00655686" w:rsidRDefault="00F76D16" w:rsidP="00655686">
      <w:pPr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F76D16">
        <w:rPr>
          <w:rFonts w:ascii="Arial" w:eastAsia="Times New Roman" w:hAnsi="Arial" w:cs="Arial"/>
          <w:sz w:val="24"/>
          <w:szCs w:val="24"/>
          <w:lang w:eastAsia="fr-FR"/>
        </w:rPr>
        <w:t>Les p</w:t>
      </w:r>
      <w:r w:rsidR="00655686" w:rsidRPr="00655686">
        <w:rPr>
          <w:rFonts w:ascii="Arial" w:eastAsia="Times New Roman" w:hAnsi="Arial" w:cs="Arial"/>
          <w:sz w:val="24"/>
          <w:szCs w:val="24"/>
          <w:lang w:eastAsia="fr-FR"/>
        </w:rPr>
        <w:t xml:space="preserve">rincipales normes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utilisés </w:t>
      </w:r>
      <w:r w:rsidRPr="00F76D16">
        <w:rPr>
          <w:rFonts w:ascii="Arial" w:hAnsi="Arial" w:cs="Arial"/>
          <w:sz w:val="24"/>
          <w:szCs w:val="24"/>
          <w:shd w:val="clear" w:color="auto" w:fill="FFFFFF"/>
        </w:rPr>
        <w:t>concernant la spécification géométrique des produits (</w:t>
      </w:r>
      <w:r w:rsidRPr="00F76D16">
        <w:rPr>
          <w:rFonts w:ascii="Arial" w:hAnsi="Arial" w:cs="Arial"/>
          <w:b/>
          <w:bCs/>
          <w:sz w:val="24"/>
          <w:szCs w:val="24"/>
          <w:shd w:val="clear" w:color="auto" w:fill="FFFFFF"/>
        </w:rPr>
        <w:t>GPS</w:t>
      </w:r>
      <w:r w:rsidRPr="00F76D16">
        <w:rPr>
          <w:rFonts w:ascii="Arial" w:hAnsi="Arial" w:cs="Arial"/>
          <w:sz w:val="24"/>
          <w:szCs w:val="24"/>
          <w:shd w:val="clear" w:color="auto" w:fill="FFFFFF"/>
        </w:rPr>
        <w:t> : Geometrical product specification)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sont :</w:t>
      </w:r>
      <w:r w:rsidR="00655686" w:rsidRPr="00655686">
        <w:rPr>
          <w:rFonts w:ascii="Arial" w:eastAsia="Times New Roman" w:hAnsi="Arial" w:cs="Arial"/>
          <w:sz w:val="24"/>
          <w:szCs w:val="24"/>
          <w:lang w:eastAsia="fr-FR"/>
        </w:rPr>
        <w:t xml:space="preserve"> NF ISO 1101, NF E 04-554 (ISO 5459), E 04-555 (ISO 2692), E 04-561 (ISO 8015).</w:t>
      </w:r>
      <w:r w:rsidRPr="00F76D16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</w:t>
      </w:r>
      <w:r w:rsidRPr="00F76D16">
        <w:rPr>
          <w:rFonts w:ascii="Arial" w:hAnsi="Arial" w:cs="Arial"/>
          <w:sz w:val="24"/>
          <w:szCs w:val="24"/>
          <w:shd w:val="clear" w:color="auto" w:fill="FFFFFF"/>
        </w:rPr>
        <w:t> </w:t>
      </w:r>
    </w:p>
    <w:p w:rsidR="00655686" w:rsidRPr="00655686" w:rsidRDefault="00655686" w:rsidP="00655686">
      <w:pPr>
        <w:pStyle w:val="Paragraphedeliste"/>
        <w:ind w:left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</w:p>
    <w:p w:rsidR="00F61434" w:rsidRDefault="00DF0D17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Définitions et représentation</w:t>
      </w:r>
    </w:p>
    <w:p w:rsidR="00F61434" w:rsidRPr="00B71415" w:rsidRDefault="00F6143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DF0D17" w:rsidRPr="00B71415" w:rsidRDefault="00DF0D17" w:rsidP="00B71415">
      <w:pPr>
        <w:pStyle w:val="NormalWeb"/>
        <w:spacing w:before="0" w:beforeAutospacing="0" w:after="0"/>
        <w:ind w:left="567"/>
        <w:rPr>
          <w:rFonts w:ascii="Arial" w:hAnsi="Arial" w:cs="Arial"/>
        </w:rPr>
      </w:pPr>
      <w:r w:rsidRPr="00B71415">
        <w:rPr>
          <w:rFonts w:ascii="Arial" w:hAnsi="Arial" w:cs="Arial"/>
        </w:rPr>
        <w:t>Les tolérances géométriques limitent l'écart de l'élément réel par rapport à :</w:t>
      </w:r>
    </w:p>
    <w:p w:rsidR="00DF0D17" w:rsidRPr="00B71415" w:rsidRDefault="00DF0D17" w:rsidP="00B71415">
      <w:pPr>
        <w:numPr>
          <w:ilvl w:val="0"/>
          <w:numId w:val="14"/>
        </w:numPr>
        <w:ind w:left="1418"/>
        <w:rPr>
          <w:rFonts w:ascii="Arial" w:hAnsi="Arial" w:cs="Arial"/>
          <w:sz w:val="24"/>
          <w:szCs w:val="24"/>
        </w:rPr>
      </w:pPr>
      <w:r w:rsidRPr="00B71415">
        <w:rPr>
          <w:rFonts w:ascii="Arial" w:hAnsi="Arial" w:cs="Arial"/>
          <w:sz w:val="24"/>
          <w:szCs w:val="24"/>
        </w:rPr>
        <w:t>sa forme,</w:t>
      </w:r>
    </w:p>
    <w:p w:rsidR="00DF0D17" w:rsidRPr="00B71415" w:rsidRDefault="00DF0D17" w:rsidP="00B71415">
      <w:pPr>
        <w:numPr>
          <w:ilvl w:val="0"/>
          <w:numId w:val="14"/>
        </w:numPr>
        <w:ind w:left="1418"/>
        <w:rPr>
          <w:rFonts w:ascii="Arial" w:hAnsi="Arial" w:cs="Arial"/>
          <w:sz w:val="24"/>
          <w:szCs w:val="24"/>
        </w:rPr>
      </w:pPr>
      <w:r w:rsidRPr="00B71415">
        <w:rPr>
          <w:rFonts w:ascii="Arial" w:hAnsi="Arial" w:cs="Arial"/>
          <w:sz w:val="24"/>
          <w:szCs w:val="24"/>
        </w:rPr>
        <w:t>son orientation,</w:t>
      </w:r>
    </w:p>
    <w:p w:rsidR="00DF0D17" w:rsidRDefault="00DF0D17" w:rsidP="00B71415">
      <w:pPr>
        <w:numPr>
          <w:ilvl w:val="0"/>
          <w:numId w:val="14"/>
        </w:numPr>
        <w:ind w:left="1418"/>
        <w:rPr>
          <w:rFonts w:ascii="Arial" w:hAnsi="Arial" w:cs="Arial"/>
          <w:sz w:val="24"/>
          <w:szCs w:val="24"/>
        </w:rPr>
      </w:pPr>
      <w:r w:rsidRPr="00B71415">
        <w:rPr>
          <w:rFonts w:ascii="Arial" w:hAnsi="Arial" w:cs="Arial"/>
          <w:sz w:val="24"/>
          <w:szCs w:val="24"/>
        </w:rPr>
        <w:t>sa position théorique exacte, sans tenir compte de la dimension de l'élément.</w:t>
      </w:r>
    </w:p>
    <w:p w:rsidR="00B71415" w:rsidRDefault="00B71415" w:rsidP="00B71415">
      <w:pPr>
        <w:ind w:left="1418"/>
        <w:rPr>
          <w:rFonts w:ascii="Arial" w:hAnsi="Arial" w:cs="Arial"/>
          <w:sz w:val="24"/>
          <w:szCs w:val="24"/>
        </w:rPr>
      </w:pPr>
    </w:p>
    <w:p w:rsidR="00F61434" w:rsidRPr="00B71415" w:rsidRDefault="00B71415" w:rsidP="00F61434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1304" w:hanging="73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Principe du tolérancement géométrique</w:t>
      </w:r>
    </w:p>
    <w:p w:rsidR="00B71415" w:rsidRPr="00B00799" w:rsidRDefault="00B71415" w:rsidP="00B00799">
      <w:pPr>
        <w:ind w:left="1304"/>
        <w:rPr>
          <w:rFonts w:ascii="Arial" w:hAnsi="Arial" w:cs="Arial"/>
          <w:color w:val="4A4949"/>
          <w:sz w:val="24"/>
          <w:szCs w:val="24"/>
        </w:rPr>
      </w:pPr>
    </w:p>
    <w:p w:rsid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B00799"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>La surface de référence</w:t>
      </w:r>
      <w:r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 xml:space="preserve"> : </w:t>
      </w:r>
      <w:r w:rsidRPr="00B00799">
        <w:rPr>
          <w:rFonts w:ascii="Arial" w:eastAsia="Times New Roman" w:hAnsi="Arial" w:cs="Arial"/>
          <w:sz w:val="24"/>
          <w:szCs w:val="24"/>
          <w:lang w:eastAsia="fr-FR"/>
        </w:rPr>
        <w:t>Élément réel appartenant à la pièce et utilisé pour construire la référence spécifiée A.</w:t>
      </w:r>
    </w:p>
    <w:p w:rsidR="00B00799" w:rsidRP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B00799"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>L'élément de référence</w:t>
      </w:r>
      <w:r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 xml:space="preserve"> : </w:t>
      </w:r>
      <w:r w:rsidRPr="00B00799">
        <w:rPr>
          <w:rFonts w:ascii="Arial" w:eastAsia="Times New Roman" w:hAnsi="Arial" w:cs="Arial"/>
          <w:sz w:val="24"/>
          <w:szCs w:val="24"/>
          <w:lang w:eastAsia="fr-FR"/>
        </w:rPr>
        <w:t>Élément idéal (géométriquement parfait), de même nature que l'élément nominal, associé à une surface de référence réelle de façon unique. Dans ce cas il s'agit d'un plan tangent du côté libre de matière et, si nécessaire, occupant une position moyenne.</w:t>
      </w:r>
    </w:p>
    <w:p w:rsidR="00B00799" w:rsidRP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B00799"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>La référence spécifiée</w:t>
      </w:r>
      <w:r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 xml:space="preserve"> : </w:t>
      </w:r>
      <w:r w:rsidRPr="00B00799">
        <w:rPr>
          <w:rFonts w:ascii="Arial" w:eastAsia="Times New Roman" w:hAnsi="Arial" w:cs="Arial"/>
          <w:sz w:val="24"/>
          <w:szCs w:val="24"/>
          <w:lang w:eastAsia="fr-FR"/>
        </w:rPr>
        <w:t>Élément idéal identique à l'élément de référence ou dérivé de celui-ci. Ici la référence spécifiée et l'élément de référence sont identiques.</w:t>
      </w:r>
    </w:p>
    <w:p w:rsidR="00B00799" w:rsidRP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B00799"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lastRenderedPageBreak/>
        <w:t>Le support de la zone de tolérance</w:t>
      </w:r>
      <w:r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 xml:space="preserve"> : </w:t>
      </w:r>
      <w:r w:rsidRPr="00B00799">
        <w:rPr>
          <w:rFonts w:ascii="Arial" w:eastAsia="Times New Roman" w:hAnsi="Arial" w:cs="Arial"/>
          <w:sz w:val="24"/>
          <w:szCs w:val="24"/>
          <w:lang w:eastAsia="fr-FR"/>
        </w:rPr>
        <w:t>Élément idéal de même nature que l'élément tolérancé idéal (plan), parallèle à la référence spécifiée et situé à une distance théorique de 10mm de celle-ci.</w:t>
      </w:r>
    </w:p>
    <w:p w:rsidR="00B00799" w:rsidRP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B00799"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>La zone de tolérance</w:t>
      </w:r>
      <w:r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 xml:space="preserve"> : </w:t>
      </w:r>
      <w:r w:rsidRPr="00B00799">
        <w:rPr>
          <w:rFonts w:ascii="Arial" w:eastAsia="Times New Roman" w:hAnsi="Arial" w:cs="Arial"/>
          <w:sz w:val="24"/>
          <w:szCs w:val="24"/>
          <w:lang w:eastAsia="fr-FR"/>
        </w:rPr>
        <w:t>Ici, espace limité par deux plans parallèles au support de la zone de tolérance, distants de 0,2mm et situés symétriquement par rapport à ce support.</w:t>
      </w:r>
    </w:p>
    <w:p w:rsidR="00B00799" w:rsidRP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B00799"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>La surface tolérancée</w:t>
      </w:r>
      <w:r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> :</w:t>
      </w:r>
      <w:r w:rsidRPr="00B00799">
        <w:rPr>
          <w:rFonts w:ascii="Arial" w:eastAsia="Times New Roman" w:hAnsi="Arial" w:cs="Arial"/>
          <w:sz w:val="24"/>
          <w:szCs w:val="24"/>
          <w:lang w:eastAsia="fr-FR"/>
        </w:rPr>
        <w:t>Élément réel de la pièce dont il faut limiter les défauts et qui doit donc être compris à l'intérieur de la zone de tolérance pour satisfaire la condition de conformité.</w:t>
      </w:r>
    </w:p>
    <w:p w:rsidR="00B00799" w:rsidRP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B00799" w:rsidRDefault="00B00799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B00799"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>La dimension théorique exacte</w:t>
      </w:r>
      <w:r>
        <w:rPr>
          <w:rFonts w:ascii="Arial" w:eastAsia="Times New Roman" w:hAnsi="Arial" w:cs="Arial"/>
          <w:b/>
          <w:bCs/>
          <w:iCs/>
          <w:sz w:val="24"/>
          <w:szCs w:val="24"/>
          <w:lang w:eastAsia="fr-FR"/>
        </w:rPr>
        <w:t> :</w:t>
      </w:r>
      <w:r w:rsidRPr="00B00799">
        <w:rPr>
          <w:rFonts w:ascii="Arial" w:eastAsia="Times New Roman" w:hAnsi="Arial" w:cs="Arial"/>
          <w:sz w:val="24"/>
          <w:szCs w:val="24"/>
          <w:lang w:eastAsia="fr-FR"/>
        </w:rPr>
        <w:t>Cote encadrée (sur le dessin de définition) qui définit la position théorique du support de la zone de tolérance par rapport à la référence spécifiée.</w:t>
      </w:r>
    </w:p>
    <w:p w:rsidR="00B52C46" w:rsidRPr="00B00799" w:rsidRDefault="00B52C46" w:rsidP="00B00799">
      <w:pPr>
        <w:ind w:left="1304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BA19FE" w:rsidRDefault="00B52C46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FR"/>
        </w:rPr>
        <w:pict>
          <v:shape id="_x0000_s1914" type="#_x0000_t32" style="position:absolute;left:0;text-align:left;margin-left:240.9pt;margin-top:13.2pt;width:0;height:255pt;z-index:251665920" o:connectortype="straight"/>
        </w:pict>
      </w:r>
    </w:p>
    <w:tbl>
      <w:tblPr>
        <w:tblStyle w:val="Grilledutableau"/>
        <w:tblW w:w="10761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36"/>
        <w:gridCol w:w="6666"/>
      </w:tblGrid>
      <w:tr w:rsidR="00B00799" w:rsidTr="00B52C46">
        <w:trPr>
          <w:trHeight w:val="381"/>
        </w:trPr>
        <w:tc>
          <w:tcPr>
            <w:tcW w:w="4095" w:type="dxa"/>
          </w:tcPr>
          <w:p w:rsidR="00B00799" w:rsidRPr="00B52C46" w:rsidRDefault="00B52C46" w:rsidP="00B52C46">
            <w:pPr>
              <w:tabs>
                <w:tab w:val="left" w:pos="10773"/>
              </w:tabs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4"/>
                <w:lang w:eastAsia="fr-FR"/>
              </w:rPr>
              <w:pict>
                <v:shape id="_x0000_s1913" type="#_x0000_t32" style="position:absolute;left:0;text-align:left;margin-left:14.4pt;margin-top:17.4pt;width:497.25pt;height:0;z-index:251664896" o:connectortype="straight"/>
              </w:pict>
            </w:r>
            <w:r w:rsidRPr="00B52C46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Représentation graphique</w:t>
            </w:r>
          </w:p>
        </w:tc>
        <w:tc>
          <w:tcPr>
            <w:tcW w:w="6666" w:type="dxa"/>
          </w:tcPr>
          <w:p w:rsidR="00B00799" w:rsidRPr="00B52C46" w:rsidRDefault="00B52C46" w:rsidP="00B52C46">
            <w:pPr>
              <w:tabs>
                <w:tab w:val="left" w:pos="10773"/>
              </w:tabs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</w:pPr>
            <w:r w:rsidRPr="00B52C46">
              <w:rPr>
                <w:rFonts w:ascii="Arial" w:eastAsia="Times New Roman" w:hAnsi="Arial" w:cs="Arial"/>
                <w:b/>
                <w:sz w:val="24"/>
                <w:szCs w:val="24"/>
                <w:lang w:eastAsia="fr-FR"/>
              </w:rPr>
              <w:t>Interprétation</w:t>
            </w:r>
          </w:p>
        </w:tc>
      </w:tr>
      <w:tr w:rsidR="00B00799" w:rsidTr="00B52C46">
        <w:tc>
          <w:tcPr>
            <w:tcW w:w="4095" w:type="dxa"/>
          </w:tcPr>
          <w:p w:rsidR="00B00799" w:rsidRDefault="00B00799" w:rsidP="00F61434">
            <w:pPr>
              <w:tabs>
                <w:tab w:val="left" w:pos="10773"/>
              </w:tabs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533650" cy="3152775"/>
                  <wp:effectExtent l="19050" t="0" r="0" b="0"/>
                  <wp:docPr id="9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315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6" w:type="dxa"/>
          </w:tcPr>
          <w:p w:rsidR="00B00799" w:rsidRDefault="00B00799" w:rsidP="00F61434">
            <w:pPr>
              <w:tabs>
                <w:tab w:val="left" w:pos="10773"/>
              </w:tabs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67175" cy="3152775"/>
                  <wp:effectExtent l="19050" t="0" r="9525" b="0"/>
                  <wp:docPr id="1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7175" cy="315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1434" w:rsidRDefault="00F61434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p w:rsidR="00994BA6" w:rsidRDefault="00994BA6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Pr="00F61434" w:rsidRDefault="00B52C46" w:rsidP="00F61434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1304" w:hanging="73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Cadres de tolérance</w:t>
      </w:r>
    </w:p>
    <w:p w:rsidR="00F61434" w:rsidRPr="00F61434" w:rsidRDefault="00F61434" w:rsidP="00F61434">
      <w:pPr>
        <w:pStyle w:val="Paragraphedeliste"/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Une extrémité est représentée par une flèche. </w: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Si on manque de place, on peut:    </w:t>
      </w:r>
    </w:p>
    <w:p w:rsidR="00F61434" w:rsidRPr="00F61434" w:rsidRDefault="00F61434" w:rsidP="00F61434">
      <w:pPr>
        <w:pStyle w:val="Paragraphedeliste"/>
        <w:numPr>
          <w:ilvl w:val="0"/>
          <w:numId w:val="12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>Reporter les flèches à l'extérieur des lignes d'attache.</w:t>
      </w:r>
    </w:p>
    <w:p w:rsidR="00F61434" w:rsidRPr="00F61434" w:rsidRDefault="00F61434" w:rsidP="00F61434">
      <w:pPr>
        <w:pStyle w:val="Paragraphedeliste"/>
        <w:numPr>
          <w:ilvl w:val="0"/>
          <w:numId w:val="12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 xml:space="preserve">Remplacer 2 flèches opposées par un point. </w:t>
      </w:r>
    </w:p>
    <w:p w:rsidR="00F61434" w:rsidRDefault="00F61434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Pr="00F61434" w:rsidRDefault="00F61434" w:rsidP="00F61434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1304" w:hanging="73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 w:rsidRPr="00F61434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la valeur de la cote</w:t>
      </w:r>
    </w:p>
    <w:p w:rsidR="00F61434" w:rsidRPr="00F61434" w:rsidRDefault="00F61434" w:rsidP="00F61434">
      <w:pPr>
        <w:pStyle w:val="Paragraphedeliste"/>
        <w:shd w:val="clear" w:color="auto" w:fill="FFFFFF"/>
        <w:tabs>
          <w:tab w:val="left" w:pos="10773"/>
        </w:tabs>
        <w:ind w:left="360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Elle est exprimée en mm ou en °.</w: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La valeur de la cote ne doit jamais être coupée par une ligne du dessin.</w: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Elle est située:    </w:t>
      </w:r>
    </w:p>
    <w:p w:rsidR="00F61434" w:rsidRPr="00F61434" w:rsidRDefault="00F61434" w:rsidP="00F61434">
      <w:pPr>
        <w:pStyle w:val="Paragraphedeliste"/>
        <w:numPr>
          <w:ilvl w:val="0"/>
          <w:numId w:val="13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 xml:space="preserve">Au dessus d'une ligne de cote horizontale. </w:t>
      </w:r>
    </w:p>
    <w:p w:rsidR="00F61434" w:rsidRPr="00F61434" w:rsidRDefault="00F61434" w:rsidP="00F61434">
      <w:pPr>
        <w:pStyle w:val="Paragraphedeliste"/>
        <w:numPr>
          <w:ilvl w:val="0"/>
          <w:numId w:val="13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>A gauche d'une ligne de cote verticale.</w:t>
      </w:r>
    </w:p>
    <w:p w:rsidR="00F61434" w:rsidRDefault="00F61434" w:rsidP="00721C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lastRenderedPageBreak/>
        <w:t>Si on manque de place, on peut utiliser une ligne de repère (voir figure)</w:t>
      </w:r>
    </w:p>
    <w:p w:rsidR="00F61434" w:rsidRDefault="00F61434" w:rsidP="00721C34">
      <w:pPr>
        <w:pBdr>
          <w:bottom w:val="single" w:sz="18" w:space="1" w:color="1F497D" w:themeColor="text2"/>
        </w:pBdr>
        <w:shd w:val="clear" w:color="auto" w:fill="FFFFFF"/>
        <w:rPr>
          <w:rFonts w:ascii="Arial" w:eastAsia="Times New Roman" w:hAnsi="Arial" w:cs="Arial"/>
          <w:sz w:val="9"/>
          <w:szCs w:val="9"/>
          <w:lang w:eastAsia="fr-FR"/>
        </w:rPr>
      </w:pPr>
    </w:p>
    <w:p w:rsidR="00721C34" w:rsidRDefault="00721C34" w:rsidP="00721C34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F61434" w:rsidRPr="00721C34" w:rsidRDefault="00F61434" w:rsidP="00721C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 w:rsidRPr="00721C34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Symboles normalisés</w:t>
      </w:r>
    </w:p>
    <w:tbl>
      <w:tblPr>
        <w:tblStyle w:val="Grilledutableau"/>
        <w:tblpPr w:leftFromText="141" w:rightFromText="141" w:vertAnchor="text" w:horzAnchor="page" w:tblpX="1183" w:tblpY="129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2410"/>
        <w:gridCol w:w="645"/>
        <w:gridCol w:w="772"/>
      </w:tblGrid>
      <w:tr w:rsidR="005A072B" w:rsidTr="005A072B">
        <w:trPr>
          <w:trHeight w:val="567"/>
        </w:trPr>
        <w:tc>
          <w:tcPr>
            <w:tcW w:w="2410" w:type="dxa"/>
            <w:vAlign w:val="center"/>
          </w:tcPr>
          <w:p w:rsidR="005A072B" w:rsidRDefault="005A072B" w:rsidP="005A072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Diamètre</w:t>
            </w:r>
          </w:p>
        </w:tc>
        <w:tc>
          <w:tcPr>
            <w:tcW w:w="645" w:type="dxa"/>
            <w:vAlign w:val="center"/>
          </w:tcPr>
          <w:p w:rsidR="005A072B" w:rsidRDefault="005A072B" w:rsidP="005A072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5A072B" w:rsidRPr="00BA19FE" w:rsidRDefault="005A072B" w:rsidP="005A072B">
            <w:pPr>
              <w:shd w:val="clear" w:color="auto" w:fill="FFFFFF"/>
              <w:rPr>
                <w:rFonts w:ascii="Cambria Math" w:eastAsia="Times New Roman" w:hAnsi="Cambria Math" w:cs="Arial"/>
                <w:sz w:val="24"/>
                <w:szCs w:val="24"/>
                <w:lang w:eastAsia="fr-FR"/>
              </w:rPr>
            </w:pPr>
            <w:r>
              <w:rPr>
                <w:rFonts w:ascii="Cambria Math" w:eastAsia="Times New Roman" w:hAnsi="Cambria Math" w:cs="Arial"/>
                <w:sz w:val="24"/>
                <w:szCs w:val="24"/>
                <w:lang w:eastAsia="fr-FR"/>
              </w:rPr>
              <w:t xml:space="preserve">∅ </w:t>
            </w:r>
          </w:p>
        </w:tc>
      </w:tr>
      <w:tr w:rsidR="005A072B" w:rsidTr="005A072B">
        <w:trPr>
          <w:trHeight w:val="567"/>
        </w:trPr>
        <w:tc>
          <w:tcPr>
            <w:tcW w:w="2410" w:type="dxa"/>
            <w:vAlign w:val="center"/>
          </w:tcPr>
          <w:p w:rsidR="005A072B" w:rsidRDefault="005A072B" w:rsidP="005A072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Rayon</w:t>
            </w:r>
          </w:p>
        </w:tc>
        <w:tc>
          <w:tcPr>
            <w:tcW w:w="645" w:type="dxa"/>
            <w:vAlign w:val="center"/>
          </w:tcPr>
          <w:p w:rsidR="005A072B" w:rsidRDefault="005A072B" w:rsidP="005A072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5A072B" w:rsidRDefault="005A072B" w:rsidP="005A072B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</w:t>
            </w:r>
          </w:p>
        </w:tc>
      </w:tr>
      <w:tr w:rsidR="005A072B" w:rsidTr="005A072B">
        <w:trPr>
          <w:trHeight w:val="567"/>
        </w:trPr>
        <w:tc>
          <w:tcPr>
            <w:tcW w:w="2410" w:type="dxa"/>
            <w:vAlign w:val="center"/>
          </w:tcPr>
          <w:p w:rsidR="005A072B" w:rsidRDefault="005A072B" w:rsidP="005A072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Diamètre de sphère</w:t>
            </w:r>
          </w:p>
        </w:tc>
        <w:tc>
          <w:tcPr>
            <w:tcW w:w="645" w:type="dxa"/>
            <w:vAlign w:val="center"/>
          </w:tcPr>
          <w:p w:rsidR="005A072B" w:rsidRDefault="005A072B" w:rsidP="005A072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5A072B" w:rsidRDefault="005A072B" w:rsidP="005A072B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S </w:t>
            </w:r>
            <w:r>
              <w:rPr>
                <w:rFonts w:ascii="Cambria Math" w:eastAsia="Times New Roman" w:hAnsi="Cambria Math" w:cs="Arial"/>
                <w:sz w:val="24"/>
                <w:szCs w:val="24"/>
                <w:lang w:eastAsia="fr-FR"/>
              </w:rPr>
              <w:t>∅</w:t>
            </w:r>
          </w:p>
        </w:tc>
      </w:tr>
      <w:tr w:rsidR="005A072B" w:rsidTr="005A072B">
        <w:trPr>
          <w:trHeight w:val="567"/>
        </w:trPr>
        <w:tc>
          <w:tcPr>
            <w:tcW w:w="2410" w:type="dxa"/>
            <w:vAlign w:val="center"/>
          </w:tcPr>
          <w:p w:rsidR="005A072B" w:rsidRDefault="005A072B" w:rsidP="005A072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Rayon de sphère</w:t>
            </w:r>
          </w:p>
        </w:tc>
        <w:tc>
          <w:tcPr>
            <w:tcW w:w="645" w:type="dxa"/>
            <w:vAlign w:val="center"/>
          </w:tcPr>
          <w:p w:rsidR="005A072B" w:rsidRDefault="005A072B" w:rsidP="005A072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5A072B" w:rsidRDefault="005A072B" w:rsidP="005A072B">
            <w:pPr>
              <w:shd w:val="clear" w:color="auto" w:fill="FFFFFF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SR </w:t>
            </w:r>
          </w:p>
        </w:tc>
      </w:tr>
      <w:tr w:rsidR="005A072B" w:rsidTr="005A072B">
        <w:trPr>
          <w:trHeight w:val="567"/>
        </w:trPr>
        <w:tc>
          <w:tcPr>
            <w:tcW w:w="2410" w:type="dxa"/>
            <w:vAlign w:val="center"/>
          </w:tcPr>
          <w:p w:rsidR="005A072B" w:rsidRDefault="005A072B" w:rsidP="005A072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Sur plat d'un carré</w:t>
            </w:r>
          </w:p>
        </w:tc>
        <w:tc>
          <w:tcPr>
            <w:tcW w:w="645" w:type="dxa"/>
            <w:vAlign w:val="center"/>
          </w:tcPr>
          <w:p w:rsidR="005A072B" w:rsidRDefault="005A072B" w:rsidP="005A072B">
            <w:pPr>
              <w:shd w:val="clear" w:color="auto" w:fill="FFFFFF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5A072B" w:rsidRDefault="00030791" w:rsidP="005A072B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4"/>
                <w:lang w:eastAsia="fr-FR"/>
              </w:rPr>
              <w:pict>
                <v:rect id="_x0000_s1905" style="position:absolute;margin-left:3.95pt;margin-top:.6pt;width:12.75pt;height:13.5pt;z-index:251656704;mso-position-horizontal-relative:text;mso-position-vertical-relative:text"/>
              </w:pict>
            </w:r>
          </w:p>
        </w:tc>
      </w:tr>
    </w:tbl>
    <w:p w:rsidR="00BA19FE" w:rsidRDefault="00030791" w:rsidP="00721C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FR"/>
        </w:rPr>
        <w:pict>
          <v:shape id="_x0000_s1902" type="#_x0000_t202" style="position:absolute;margin-left:2.4pt;margin-top:6.4pt;width:327.75pt;height:141pt;z-index:251658752;mso-position-horizontal-relative:text;mso-position-vertical-relative:text" filled="f" stroked="f">
            <v:textbox>
              <w:txbxContent>
                <w:p w:rsidR="005A072B" w:rsidRDefault="005A072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41258" cy="1514475"/>
                        <wp:effectExtent l="19050" t="0" r="0" b="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43995" cy="15155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A19FE" w:rsidRDefault="00F61434" w:rsidP="00BA19FE">
      <w:pPr>
        <w:shd w:val="clear" w:color="auto" w:fill="FFFFFF"/>
        <w:ind w:left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</w:p>
    <w:p w:rsidR="00BA19FE" w:rsidRDefault="00F61434" w:rsidP="00BA19FE">
      <w:pPr>
        <w:shd w:val="clear" w:color="auto" w:fill="FFFFFF"/>
        <w:ind w:left="567"/>
        <w:rPr>
          <w:rFonts w:ascii="Cambria Math" w:eastAsia="Times New Roman" w:hAnsi="Cambria Math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</w:p>
    <w:p w:rsidR="00BA19FE" w:rsidRDefault="00BA19FE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BA19FE" w:rsidRDefault="00BA19FE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Pr="005A072B" w:rsidRDefault="005A072B" w:rsidP="00F61434">
      <w:pPr>
        <w:shd w:val="clear" w:color="auto" w:fill="FFFFFF"/>
        <w:rPr>
          <w:rFonts w:ascii="Arial" w:eastAsia="Times New Roman" w:hAnsi="Arial" w:cs="Arial"/>
          <w:i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F61434" w:rsidP="005A072B">
      <w:pPr>
        <w:shd w:val="clear" w:color="auto" w:fill="FFFFFF"/>
        <w:ind w:left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Pour les petits rayons, la flè</w:t>
      </w:r>
      <w:r w:rsidR="005A072B">
        <w:rPr>
          <w:rFonts w:ascii="Arial" w:eastAsia="Times New Roman" w:hAnsi="Arial" w:cs="Arial"/>
          <w:sz w:val="24"/>
          <w:szCs w:val="24"/>
          <w:lang w:eastAsia="fr-FR"/>
        </w:rPr>
        <w:t>che est tracée du coté convexe.</w:t>
      </w:r>
    </w:p>
    <w:p w:rsidR="005A072B" w:rsidRDefault="005A072B" w:rsidP="005A072B">
      <w:pPr>
        <w:pBdr>
          <w:bottom w:val="single" w:sz="18" w:space="1" w:color="1F497D" w:themeColor="text2"/>
        </w:pBd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Pr="005A072B" w:rsidRDefault="00F61434" w:rsidP="005A072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sz w:val="24"/>
          <w:szCs w:val="24"/>
          <w:lang w:eastAsia="fr-FR"/>
        </w:rPr>
      </w:pPr>
      <w:r w:rsidRPr="005A072B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Cotation surabondante</w:t>
      </w:r>
    </w:p>
    <w:p w:rsidR="005A072B" w:rsidRPr="005A072B" w:rsidRDefault="005A072B" w:rsidP="005A072B">
      <w:pPr>
        <w:pStyle w:val="Paragraphedeliste"/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5A072B">
      <w:pPr>
        <w:pBdr>
          <w:bottom w:val="single" w:sz="18" w:space="1" w:color="1F497D" w:themeColor="text2"/>
        </w:pBdr>
        <w:shd w:val="clear" w:color="auto" w:fill="FFFFFF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Une des règles principale de la cotation est d'éviter la surabondance des cotes, c'est à dire de coter une même dimension plusieurs fois. </w:t>
      </w:r>
    </w:p>
    <w:p w:rsidR="00F61434" w:rsidRDefault="00F61434" w:rsidP="005A072B">
      <w:pPr>
        <w:pBdr>
          <w:bottom w:val="single" w:sz="18" w:space="1" w:color="1F497D" w:themeColor="text2"/>
        </w:pBd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Une cote qui peut être déduite à partir d’autres cotes, n’a pas à figurer sur le plan.</w:t>
      </w:r>
    </w:p>
    <w:p w:rsidR="00F61434" w:rsidRDefault="00F61434" w:rsidP="005A072B">
      <w:pPr>
        <w:pBdr>
          <w:bottom w:val="single" w:sz="18" w:space="1" w:color="1F497D" w:themeColor="text2"/>
        </w:pBd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Une cote qui apparaît sur une des vues du plan, n’a pas à figurer sur les autres vues. </w:t>
      </w:r>
    </w:p>
    <w:p w:rsidR="005A072B" w:rsidRDefault="005A072B" w:rsidP="005A072B">
      <w:pPr>
        <w:pBdr>
          <w:bottom w:val="single" w:sz="18" w:space="1" w:color="1F497D" w:themeColor="text2"/>
        </w:pBd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5A072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 w:rsidRPr="005A072B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Cotation des chanfreins</w:t>
      </w:r>
    </w:p>
    <w:p w:rsidR="00F61434" w:rsidRDefault="00030791" w:rsidP="00F61434">
      <w:pPr>
        <w:pStyle w:val="Paragraphedeliste"/>
        <w:ind w:left="1854"/>
        <w:rPr>
          <w:rFonts w:ascii="Arial" w:hAnsi="Arial" w:cs="Arial"/>
          <w:sz w:val="24"/>
          <w:szCs w:val="24"/>
        </w:rPr>
      </w:pPr>
      <w:r w:rsidRPr="00030791"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906" type="#_x0000_t202" style="position:absolute;left:0;text-align:left;margin-left:19.65pt;margin-top:10.2pt;width:519.75pt;height:174.75pt;z-index:251659776" stroked="f">
            <v:textbox>
              <w:txbxContent>
                <w:p w:rsidR="005A072B" w:rsidRDefault="005A072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010275" cy="1933575"/>
                        <wp:effectExtent l="19050" t="0" r="9525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10275" cy="1933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D1671" w:rsidRDefault="005D1671" w:rsidP="005D1671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sectPr w:rsidR="005D1671" w:rsidSect="00B52C46">
      <w:footerReference w:type="default" r:id="rId14"/>
      <w:headerReference w:type="first" r:id="rId15"/>
      <w:footerReference w:type="first" r:id="rId16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0B8E" w:rsidRDefault="00E20B8E" w:rsidP="00964160">
      <w:r>
        <w:separator/>
      </w:r>
    </w:p>
  </w:endnote>
  <w:endnote w:type="continuationSeparator" w:id="1">
    <w:p w:rsidR="00E20B8E" w:rsidRDefault="00E20B8E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030791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65568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tolerances_geometriques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030791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52C4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52C4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030791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282587" w:rsidRPr="00390D9A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12086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ichier : </w:t>
                </w:r>
                <w:r w:rsidR="0065568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tolerances_geometriques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524BA" w:rsidRDefault="001524B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030791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52C4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52C4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0B8E" w:rsidRDefault="00E20B8E" w:rsidP="00964160">
      <w:r>
        <w:separator/>
      </w:r>
    </w:p>
  </w:footnote>
  <w:footnote w:type="continuationSeparator" w:id="1">
    <w:p w:rsidR="00E20B8E" w:rsidRDefault="00E20B8E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030791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BB2D8D" w:rsidRPr="0062046F" w:rsidRDefault="00655686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Tolérances géométriques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BB2D8D" w:rsidRDefault="00BB2D8D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030791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F46782E"/>
    <w:multiLevelType w:val="multilevel"/>
    <w:tmpl w:val="040C001F"/>
    <w:numStyleLink w:val="Style2"/>
  </w:abstractNum>
  <w:abstractNum w:abstractNumId="7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8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9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5"/>
  </w:num>
  <w:num w:numId="9">
    <w:abstractNumId w:val="12"/>
  </w:num>
  <w:num w:numId="10">
    <w:abstractNumId w:val="10"/>
  </w:num>
  <w:num w:numId="11">
    <w:abstractNumId w:val="11"/>
  </w:num>
  <w:num w:numId="12">
    <w:abstractNumId w:val="8"/>
  </w:num>
  <w:num w:numId="13">
    <w:abstractNumId w:val="7"/>
  </w:num>
  <w:num w:numId="14">
    <w:abstractNumId w:val="13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11970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2657"/>
    <w:rsid w:val="001226C4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5FD4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970">
      <o:colormru v:ext="edit" colors="#fa5c50"/>
      <o:colormenu v:ext="edit" fillcolor="none" strokecolor="red"/>
    </o:shapedefaults>
    <o:shapelayout v:ext="edit">
      <o:idmap v:ext="edit" data="1"/>
      <o:rules v:ext="edit">
        <o:r id="V:Rule2" type="connector" idref="#_x0000_s1909"/>
        <o:r id="V:Rule4" type="connector" idref="#_x0000_s1913"/>
        <o:r id="V:Rule6" type="connector" idref="#_x0000_s1914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93C35-E325-471F-9566-4E7E39A99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500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9</cp:revision>
  <cp:lastPrinted>2021-03-14T18:52:00Z</cp:lastPrinted>
  <dcterms:created xsi:type="dcterms:W3CDTF">2022-01-23T16:07:00Z</dcterms:created>
  <dcterms:modified xsi:type="dcterms:W3CDTF">2022-02-03T17:48:00Z</dcterms:modified>
</cp:coreProperties>
</file>