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78A50D" w14:textId="2873793D" w:rsidR="009F76E6" w:rsidRPr="00450386" w:rsidRDefault="009F76E6" w:rsidP="00524010">
      <w:pPr>
        <w:spacing w:afterLines="100" w:after="312" w:line="440" w:lineRule="exact"/>
        <w:jc w:val="center"/>
        <w:rPr>
          <w:rFonts w:ascii="黑体" w:eastAsia="黑体" w:hAnsi="黑体" w:cs="Times New Roman"/>
          <w:sz w:val="36"/>
          <w:szCs w:val="36"/>
        </w:rPr>
      </w:pPr>
      <w:r w:rsidRPr="00450386">
        <w:rPr>
          <w:rFonts w:ascii="黑体" w:eastAsia="黑体" w:hAnsi="黑体" w:cs="Times New Roman"/>
          <w:sz w:val="36"/>
          <w:szCs w:val="36"/>
        </w:rPr>
        <w:t>经营者集中简易案件公示表</w:t>
      </w:r>
      <w:r w:rsidR="00EC6D06" w:rsidRPr="00450386">
        <w:rPr>
          <w:rFonts w:ascii="黑体" w:eastAsia="黑体" w:hAnsi="黑体" w:cs="Times New Roman" w:hint="eastAsia"/>
          <w:sz w:val="36"/>
          <w:szCs w:val="36"/>
        </w:rPr>
        <w:t xml:space="preserve"> </w:t>
      </w:r>
      <w:r w:rsidR="00E6194B" w:rsidRPr="00450386">
        <w:rPr>
          <w:rFonts w:ascii="黑体" w:eastAsia="黑体" w:hAnsi="黑体" w:cs="Times New Roman" w:hint="eastAsia"/>
          <w:sz w:val="36"/>
          <w:szCs w:val="36"/>
        </w:rPr>
        <w:t xml:space="preserve"> </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9F76E6" w:rsidRPr="00450386" w14:paraId="3B45433F" w14:textId="77777777" w:rsidTr="00E25570">
        <w:tc>
          <w:tcPr>
            <w:tcW w:w="1809" w:type="dxa"/>
            <w:shd w:val="clear" w:color="auto" w:fill="D9D9D9"/>
          </w:tcPr>
          <w:p w14:paraId="4C60B7DE" w14:textId="77777777" w:rsidR="009F76E6" w:rsidRPr="00450386" w:rsidRDefault="009F76E6" w:rsidP="001F354C">
            <w:pPr>
              <w:rPr>
                <w:rFonts w:asciiTheme="majorEastAsia" w:eastAsiaTheme="majorEastAsia" w:hAnsiTheme="majorEastAsia" w:cs="Times New Roman"/>
                <w:sz w:val="24"/>
                <w:szCs w:val="24"/>
              </w:rPr>
            </w:pPr>
            <w:r w:rsidRPr="00450386">
              <w:rPr>
                <w:rFonts w:asciiTheme="majorEastAsia" w:eastAsiaTheme="majorEastAsia" w:hAnsiTheme="majorEastAsia" w:cs="Times New Roman"/>
                <w:sz w:val="24"/>
                <w:szCs w:val="24"/>
              </w:rPr>
              <w:t>案件名称</w:t>
            </w:r>
          </w:p>
        </w:tc>
        <w:tc>
          <w:tcPr>
            <w:tcW w:w="6949" w:type="dxa"/>
            <w:gridSpan w:val="2"/>
          </w:tcPr>
          <w:p w14:paraId="357A98D0" w14:textId="3DB2548A" w:rsidR="009F76E6" w:rsidRPr="00450386" w:rsidRDefault="00AE1099" w:rsidP="001F354C">
            <w:pPr>
              <w:rPr>
                <w:rFonts w:asciiTheme="majorEastAsia" w:eastAsiaTheme="majorEastAsia" w:hAnsiTheme="majorEastAsia" w:cs="Times New Roman"/>
                <w:sz w:val="24"/>
                <w:szCs w:val="24"/>
              </w:rPr>
            </w:pPr>
            <w:r w:rsidRPr="00450386">
              <w:rPr>
                <w:rFonts w:asciiTheme="majorEastAsia" w:eastAsiaTheme="majorEastAsia" w:hAnsiTheme="majorEastAsia" w:cs="Times New Roman" w:hint="eastAsia"/>
                <w:sz w:val="24"/>
                <w:szCs w:val="24"/>
              </w:rPr>
              <w:t>明珠数字科技股份有限公司与上海晓途网络科技有限公司收购珠海横琴平安钱进小额贷款有限公司股权案</w:t>
            </w:r>
          </w:p>
        </w:tc>
      </w:tr>
      <w:tr w:rsidR="009F76E6" w:rsidRPr="00450386" w14:paraId="359B93A1" w14:textId="77777777" w:rsidTr="00E25570">
        <w:trPr>
          <w:trHeight w:val="993"/>
        </w:trPr>
        <w:tc>
          <w:tcPr>
            <w:tcW w:w="1809" w:type="dxa"/>
            <w:shd w:val="clear" w:color="auto" w:fill="D9D9D9"/>
          </w:tcPr>
          <w:p w14:paraId="6B31A000" w14:textId="77777777" w:rsidR="009F76E6" w:rsidRPr="00450386" w:rsidRDefault="009F76E6" w:rsidP="001F354C">
            <w:pPr>
              <w:rPr>
                <w:rFonts w:asciiTheme="majorEastAsia" w:eastAsiaTheme="majorEastAsia" w:hAnsiTheme="majorEastAsia" w:cs="Times New Roman"/>
                <w:sz w:val="24"/>
                <w:szCs w:val="24"/>
              </w:rPr>
            </w:pPr>
            <w:r w:rsidRPr="00450386">
              <w:rPr>
                <w:rFonts w:asciiTheme="majorEastAsia" w:eastAsiaTheme="majorEastAsia" w:hAnsiTheme="majorEastAsia" w:cs="Times New Roman"/>
                <w:sz w:val="24"/>
                <w:szCs w:val="24"/>
              </w:rPr>
              <w:t>交易概况（限200字内）</w:t>
            </w:r>
          </w:p>
        </w:tc>
        <w:tc>
          <w:tcPr>
            <w:tcW w:w="6949" w:type="dxa"/>
            <w:gridSpan w:val="2"/>
          </w:tcPr>
          <w:p w14:paraId="75FE3DF3" w14:textId="7AD533F4" w:rsidR="009F76E6" w:rsidRPr="00C1616D" w:rsidRDefault="007E11F6" w:rsidP="00495838">
            <w:pPr>
              <w:widowControl/>
              <w:snapToGrid w:val="0"/>
              <w:jc w:val="left"/>
              <w:rPr>
                <w:rFonts w:asciiTheme="majorEastAsia" w:eastAsiaTheme="majorEastAsia" w:hAnsiTheme="majorEastAsia" w:cs="Times New Roman"/>
                <w:sz w:val="24"/>
                <w:szCs w:val="24"/>
              </w:rPr>
            </w:pPr>
            <w:r w:rsidRPr="00C1616D">
              <w:rPr>
                <w:rFonts w:asciiTheme="majorEastAsia" w:eastAsiaTheme="majorEastAsia" w:hAnsiTheme="majorEastAsia" w:cs="Times New Roman"/>
                <w:sz w:val="24"/>
                <w:szCs w:val="24"/>
              </w:rPr>
              <w:t>本次交易</w:t>
            </w:r>
            <w:r w:rsidR="00495838" w:rsidRPr="00C1616D">
              <w:rPr>
                <w:rFonts w:asciiTheme="majorEastAsia" w:eastAsiaTheme="majorEastAsia" w:hAnsiTheme="majorEastAsia" w:cs="Times New Roman" w:hint="eastAsia"/>
                <w:sz w:val="24"/>
                <w:szCs w:val="24"/>
              </w:rPr>
              <w:t>涉及明珠数字科技股份有限公司（“明珠数科”）和上海晓途网络科技有限公司（“上海晓途”）收购珠海横琴平安钱进小额贷款有限公司（“钱进小贷”）股权（“本次交易”）。本次交易前，钱进小贷是中国平安保险（集团）股份有限公司（“平安集团”）单独控制。本次交易完成后，平安集团不再控制钱进小贷，钱进小贷将由明珠数科和上海晓途共同控制</w:t>
            </w:r>
            <w:r w:rsidR="00FA0E91" w:rsidRPr="00C1616D">
              <w:rPr>
                <w:rFonts w:asciiTheme="majorEastAsia" w:eastAsiaTheme="majorEastAsia" w:hAnsiTheme="majorEastAsia" w:cs="Times New Roman" w:hint="eastAsia"/>
                <w:sz w:val="24"/>
                <w:szCs w:val="24"/>
              </w:rPr>
              <w:t>。</w:t>
            </w:r>
          </w:p>
        </w:tc>
      </w:tr>
      <w:tr w:rsidR="00847EB4" w:rsidRPr="00450386" w14:paraId="4EB92F0F" w14:textId="77777777" w:rsidTr="007D2958">
        <w:trPr>
          <w:trHeight w:hRule="exact" w:val="2565"/>
        </w:trPr>
        <w:tc>
          <w:tcPr>
            <w:tcW w:w="1809" w:type="dxa"/>
            <w:vMerge w:val="restart"/>
            <w:shd w:val="clear" w:color="auto" w:fill="D9D9D9"/>
          </w:tcPr>
          <w:p w14:paraId="2C7B672C" w14:textId="77777777" w:rsidR="00847EB4" w:rsidRPr="00450386" w:rsidRDefault="00847EB4" w:rsidP="001F354C">
            <w:pPr>
              <w:rPr>
                <w:rFonts w:asciiTheme="majorEastAsia" w:eastAsiaTheme="majorEastAsia" w:hAnsiTheme="majorEastAsia" w:cs="Times New Roman"/>
                <w:sz w:val="24"/>
                <w:szCs w:val="24"/>
              </w:rPr>
            </w:pPr>
            <w:r w:rsidRPr="00450386">
              <w:rPr>
                <w:rFonts w:asciiTheme="majorEastAsia" w:eastAsiaTheme="majorEastAsia" w:hAnsiTheme="majorEastAsia" w:cs="Times New Roman"/>
                <w:sz w:val="24"/>
                <w:szCs w:val="24"/>
              </w:rPr>
              <w:t>参与集中的经营者简介</w:t>
            </w:r>
          </w:p>
        </w:tc>
        <w:tc>
          <w:tcPr>
            <w:tcW w:w="1796" w:type="dxa"/>
          </w:tcPr>
          <w:p w14:paraId="1531DB1A" w14:textId="476954E0" w:rsidR="00847EB4" w:rsidRPr="00450386" w:rsidRDefault="00847EB4" w:rsidP="001F354C">
            <w:pPr>
              <w:pStyle w:val="a3"/>
              <w:numPr>
                <w:ilvl w:val="0"/>
                <w:numId w:val="1"/>
              </w:numPr>
              <w:ind w:firstLineChars="0"/>
              <w:rPr>
                <w:rFonts w:asciiTheme="majorEastAsia" w:eastAsiaTheme="majorEastAsia" w:hAnsiTheme="majorEastAsia" w:cs="Times New Roman"/>
                <w:sz w:val="24"/>
                <w:szCs w:val="24"/>
              </w:rPr>
            </w:pPr>
            <w:r w:rsidRPr="00450386">
              <w:rPr>
                <w:rFonts w:asciiTheme="majorEastAsia" w:eastAsiaTheme="majorEastAsia" w:hAnsiTheme="majorEastAsia" w:cs="Times New Roman" w:hint="eastAsia"/>
                <w:sz w:val="24"/>
                <w:szCs w:val="24"/>
              </w:rPr>
              <w:t>明珠数科</w:t>
            </w:r>
          </w:p>
          <w:p w14:paraId="34AF3F4D" w14:textId="77777777" w:rsidR="00847EB4" w:rsidRPr="00450386" w:rsidRDefault="00847EB4" w:rsidP="001F354C">
            <w:pPr>
              <w:rPr>
                <w:rFonts w:asciiTheme="majorEastAsia" w:eastAsiaTheme="majorEastAsia" w:hAnsiTheme="majorEastAsia" w:cs="Times New Roman"/>
                <w:sz w:val="24"/>
                <w:szCs w:val="24"/>
              </w:rPr>
            </w:pPr>
          </w:p>
        </w:tc>
        <w:tc>
          <w:tcPr>
            <w:tcW w:w="5153" w:type="dxa"/>
          </w:tcPr>
          <w:p w14:paraId="095EF610" w14:textId="26129BBD" w:rsidR="00847EB4" w:rsidRPr="00450386" w:rsidRDefault="00847EB4" w:rsidP="001F354C">
            <w:pPr>
              <w:widowControl/>
              <w:snapToGrid w:val="0"/>
              <w:jc w:val="left"/>
              <w:rPr>
                <w:rFonts w:asciiTheme="majorEastAsia" w:eastAsiaTheme="majorEastAsia" w:hAnsiTheme="majorEastAsia" w:cs="Times New Roman"/>
                <w:sz w:val="24"/>
                <w:szCs w:val="24"/>
              </w:rPr>
            </w:pPr>
            <w:r w:rsidRPr="00450386">
              <w:rPr>
                <w:rFonts w:asciiTheme="majorEastAsia" w:eastAsiaTheme="majorEastAsia" w:hAnsiTheme="majorEastAsia" w:cs="Times New Roman" w:hint="eastAsia"/>
                <w:sz w:val="24"/>
                <w:szCs w:val="24"/>
              </w:rPr>
              <w:t>明珠数科于2</w:t>
            </w:r>
            <w:r w:rsidRPr="00450386">
              <w:rPr>
                <w:rFonts w:asciiTheme="majorEastAsia" w:eastAsiaTheme="majorEastAsia" w:hAnsiTheme="majorEastAsia" w:cs="Times New Roman"/>
                <w:sz w:val="24"/>
                <w:szCs w:val="24"/>
              </w:rPr>
              <w:t>020</w:t>
            </w:r>
            <w:r w:rsidRPr="00450386">
              <w:rPr>
                <w:rFonts w:asciiTheme="majorEastAsia" w:eastAsiaTheme="majorEastAsia" w:hAnsiTheme="majorEastAsia" w:cs="Times New Roman" w:hint="eastAsia"/>
                <w:sz w:val="24"/>
                <w:szCs w:val="24"/>
              </w:rPr>
              <w:t>年</w:t>
            </w:r>
            <w:r>
              <w:rPr>
                <w:rFonts w:asciiTheme="majorEastAsia" w:eastAsiaTheme="majorEastAsia" w:hAnsiTheme="majorEastAsia" w:cs="Times New Roman" w:hint="eastAsia"/>
                <w:sz w:val="24"/>
                <w:szCs w:val="24"/>
              </w:rPr>
              <w:t>1</w:t>
            </w:r>
            <w:r>
              <w:rPr>
                <w:rFonts w:asciiTheme="majorEastAsia" w:eastAsiaTheme="majorEastAsia" w:hAnsiTheme="majorEastAsia" w:cs="Times New Roman"/>
                <w:sz w:val="24"/>
                <w:szCs w:val="24"/>
              </w:rPr>
              <w:t>2</w:t>
            </w:r>
            <w:r>
              <w:rPr>
                <w:rFonts w:asciiTheme="majorEastAsia" w:eastAsiaTheme="majorEastAsia" w:hAnsiTheme="majorEastAsia" w:cs="Times New Roman" w:hint="eastAsia"/>
                <w:sz w:val="24"/>
                <w:szCs w:val="24"/>
              </w:rPr>
              <w:t>月1</w:t>
            </w:r>
            <w:r>
              <w:rPr>
                <w:rFonts w:asciiTheme="majorEastAsia" w:eastAsiaTheme="majorEastAsia" w:hAnsiTheme="majorEastAsia" w:cs="Times New Roman"/>
                <w:sz w:val="24"/>
                <w:szCs w:val="24"/>
              </w:rPr>
              <w:t>1</w:t>
            </w:r>
            <w:r>
              <w:rPr>
                <w:rFonts w:asciiTheme="majorEastAsia" w:eastAsiaTheme="majorEastAsia" w:hAnsiTheme="majorEastAsia" w:cs="Times New Roman" w:hint="eastAsia"/>
                <w:sz w:val="24"/>
                <w:szCs w:val="24"/>
              </w:rPr>
              <w:t>日</w:t>
            </w:r>
            <w:r w:rsidRPr="00450386">
              <w:rPr>
                <w:rFonts w:asciiTheme="majorEastAsia" w:eastAsiaTheme="majorEastAsia" w:hAnsiTheme="majorEastAsia" w:cs="Times New Roman" w:hint="eastAsia"/>
                <w:sz w:val="24"/>
                <w:szCs w:val="24"/>
              </w:rPr>
              <w:t>在</w:t>
            </w:r>
            <w:r>
              <w:rPr>
                <w:rFonts w:asciiTheme="majorEastAsia" w:eastAsiaTheme="majorEastAsia" w:hAnsiTheme="majorEastAsia" w:cs="Times New Roman" w:hint="eastAsia"/>
                <w:sz w:val="24"/>
                <w:szCs w:val="24"/>
              </w:rPr>
              <w:t>中国</w:t>
            </w:r>
            <w:r w:rsidRPr="00450386">
              <w:rPr>
                <w:rFonts w:asciiTheme="majorEastAsia" w:eastAsiaTheme="majorEastAsia" w:hAnsiTheme="majorEastAsia" w:cs="Times New Roman" w:hint="eastAsia"/>
                <w:sz w:val="24"/>
                <w:szCs w:val="24"/>
              </w:rPr>
              <w:t>广州成立，</w:t>
            </w:r>
            <w:r w:rsidR="00142C9A">
              <w:rPr>
                <w:rFonts w:asciiTheme="majorEastAsia" w:eastAsiaTheme="majorEastAsia" w:hAnsiTheme="majorEastAsia" w:cs="Times New Roman" w:hint="eastAsia"/>
                <w:sz w:val="24"/>
                <w:szCs w:val="24"/>
              </w:rPr>
              <w:t>主要</w:t>
            </w:r>
            <w:r w:rsidR="00142C9A" w:rsidRPr="00142C9A">
              <w:rPr>
                <w:rFonts w:asciiTheme="majorEastAsia" w:eastAsiaTheme="majorEastAsia" w:hAnsiTheme="majorEastAsia" w:cs="Times New Roman" w:hint="eastAsia"/>
                <w:sz w:val="24"/>
                <w:szCs w:val="24"/>
              </w:rPr>
              <w:t>依托南航集团优质的场景和丰富的航旅客户资源开展金融科技业务，开展供应链金融、消费金融、财富管理、权益运营等业务。</w:t>
            </w:r>
          </w:p>
          <w:p w14:paraId="421C320F" w14:textId="0E5937B0" w:rsidR="00847EB4" w:rsidRPr="00450386" w:rsidRDefault="00847EB4" w:rsidP="001F354C">
            <w:pPr>
              <w:widowControl/>
              <w:snapToGrid w:val="0"/>
              <w:jc w:val="left"/>
              <w:rPr>
                <w:rFonts w:asciiTheme="majorEastAsia" w:eastAsiaTheme="majorEastAsia" w:hAnsiTheme="majorEastAsia" w:cs="Times New Roman"/>
                <w:sz w:val="24"/>
                <w:szCs w:val="24"/>
              </w:rPr>
            </w:pPr>
            <w:r w:rsidRPr="00450386">
              <w:rPr>
                <w:rFonts w:asciiTheme="majorEastAsia" w:eastAsiaTheme="majorEastAsia" w:hAnsiTheme="majorEastAsia" w:cs="Times New Roman" w:hint="eastAsia"/>
                <w:sz w:val="24"/>
                <w:szCs w:val="24"/>
              </w:rPr>
              <w:t>明珠数科的最终控制人为中国南方航空集团有限公司，</w:t>
            </w:r>
            <w:r>
              <w:rPr>
                <w:rFonts w:asciiTheme="majorEastAsia" w:eastAsiaTheme="majorEastAsia" w:hAnsiTheme="majorEastAsia" w:cs="Times New Roman" w:hint="eastAsia"/>
                <w:sz w:val="24"/>
                <w:szCs w:val="24"/>
              </w:rPr>
              <w:t>其核心业务为</w:t>
            </w:r>
            <w:r w:rsidRPr="00392695">
              <w:rPr>
                <w:rFonts w:asciiTheme="majorEastAsia" w:eastAsiaTheme="majorEastAsia" w:hAnsiTheme="majorEastAsia" w:cs="Times New Roman" w:hint="eastAsia"/>
                <w:sz w:val="24"/>
                <w:szCs w:val="24"/>
              </w:rPr>
              <w:t>经营集团公司及其投资企业中由国家投资形成的全部国有资产和国有股权</w:t>
            </w:r>
            <w:r w:rsidR="0001099F">
              <w:rPr>
                <w:rFonts w:asciiTheme="majorEastAsia" w:eastAsiaTheme="majorEastAsia" w:hAnsiTheme="majorEastAsia" w:cs="Times New Roman" w:hint="eastAsia"/>
                <w:sz w:val="24"/>
                <w:szCs w:val="24"/>
              </w:rPr>
              <w:t>。</w:t>
            </w:r>
          </w:p>
        </w:tc>
      </w:tr>
      <w:tr w:rsidR="00847EB4" w:rsidRPr="00450386" w14:paraId="50B869DA" w14:textId="77777777" w:rsidTr="00847EB4">
        <w:trPr>
          <w:trHeight w:hRule="exact" w:val="3254"/>
        </w:trPr>
        <w:tc>
          <w:tcPr>
            <w:tcW w:w="1809" w:type="dxa"/>
            <w:vMerge/>
            <w:shd w:val="clear" w:color="auto" w:fill="D9D9D9"/>
          </w:tcPr>
          <w:p w14:paraId="4E6CC8AC" w14:textId="77777777" w:rsidR="00847EB4" w:rsidRPr="00450386" w:rsidRDefault="00847EB4" w:rsidP="001F354C">
            <w:pPr>
              <w:rPr>
                <w:rFonts w:asciiTheme="majorEastAsia" w:eastAsiaTheme="majorEastAsia" w:hAnsiTheme="majorEastAsia" w:cs="Times New Roman"/>
                <w:sz w:val="24"/>
                <w:szCs w:val="24"/>
              </w:rPr>
            </w:pPr>
          </w:p>
        </w:tc>
        <w:tc>
          <w:tcPr>
            <w:tcW w:w="1796" w:type="dxa"/>
          </w:tcPr>
          <w:p w14:paraId="3E5B4507" w14:textId="02798AB2" w:rsidR="00847EB4" w:rsidRPr="00450386" w:rsidRDefault="00847EB4" w:rsidP="006C7BBA">
            <w:pPr>
              <w:pStyle w:val="a3"/>
              <w:numPr>
                <w:ilvl w:val="0"/>
                <w:numId w:val="1"/>
              </w:numPr>
              <w:ind w:firstLineChars="0"/>
              <w:rPr>
                <w:rFonts w:asciiTheme="majorEastAsia" w:eastAsiaTheme="majorEastAsia" w:hAnsiTheme="majorEastAsia" w:cs="Times New Roman"/>
                <w:sz w:val="24"/>
                <w:szCs w:val="24"/>
              </w:rPr>
            </w:pPr>
            <w:r w:rsidRPr="00450386">
              <w:rPr>
                <w:rFonts w:asciiTheme="majorEastAsia" w:eastAsiaTheme="majorEastAsia" w:hAnsiTheme="majorEastAsia" w:cs="Times New Roman" w:hint="eastAsia"/>
                <w:sz w:val="24"/>
                <w:szCs w:val="24"/>
              </w:rPr>
              <w:t>上海晓途</w:t>
            </w:r>
          </w:p>
        </w:tc>
        <w:tc>
          <w:tcPr>
            <w:tcW w:w="5153" w:type="dxa"/>
          </w:tcPr>
          <w:p w14:paraId="529EDFDD" w14:textId="77777777" w:rsidR="00847EB4" w:rsidRDefault="00847EB4" w:rsidP="001F354C">
            <w:pPr>
              <w:snapToGrid w:val="0"/>
              <w:jc w:val="left"/>
              <w:rPr>
                <w:rFonts w:asciiTheme="majorEastAsia" w:eastAsiaTheme="majorEastAsia" w:hAnsiTheme="majorEastAsia" w:cs="Times New Roman"/>
                <w:sz w:val="24"/>
                <w:szCs w:val="24"/>
              </w:rPr>
            </w:pPr>
            <w:r>
              <w:rPr>
                <w:rFonts w:asciiTheme="majorEastAsia" w:eastAsiaTheme="majorEastAsia" w:hAnsiTheme="majorEastAsia" w:cs="Times New Roman" w:hint="eastAsia"/>
                <w:sz w:val="24"/>
                <w:szCs w:val="24"/>
              </w:rPr>
              <w:t>上海晓途于2</w:t>
            </w:r>
            <w:r>
              <w:rPr>
                <w:rFonts w:asciiTheme="majorEastAsia" w:eastAsiaTheme="majorEastAsia" w:hAnsiTheme="majorEastAsia" w:cs="Times New Roman"/>
                <w:sz w:val="24"/>
                <w:szCs w:val="24"/>
              </w:rPr>
              <w:t>015</w:t>
            </w:r>
            <w:r>
              <w:rPr>
                <w:rFonts w:asciiTheme="majorEastAsia" w:eastAsiaTheme="majorEastAsia" w:hAnsiTheme="majorEastAsia" w:cs="Times New Roman" w:hint="eastAsia"/>
                <w:sz w:val="24"/>
                <w:szCs w:val="24"/>
              </w:rPr>
              <w:t>年1月2</w:t>
            </w:r>
            <w:r>
              <w:rPr>
                <w:rFonts w:asciiTheme="majorEastAsia" w:eastAsiaTheme="majorEastAsia" w:hAnsiTheme="majorEastAsia" w:cs="Times New Roman"/>
                <w:sz w:val="24"/>
                <w:szCs w:val="24"/>
              </w:rPr>
              <w:t>2</w:t>
            </w:r>
            <w:r>
              <w:rPr>
                <w:rFonts w:asciiTheme="majorEastAsia" w:eastAsiaTheme="majorEastAsia" w:hAnsiTheme="majorEastAsia" w:cs="Times New Roman" w:hint="eastAsia"/>
                <w:sz w:val="24"/>
                <w:szCs w:val="24"/>
              </w:rPr>
              <w:t>日在中国上海成立，其主营业务</w:t>
            </w:r>
            <w:r w:rsidRPr="002A14DD">
              <w:rPr>
                <w:rFonts w:asciiTheme="majorEastAsia" w:eastAsiaTheme="majorEastAsia" w:hAnsiTheme="majorEastAsia" w:cs="Times New Roman" w:hint="eastAsia"/>
                <w:sz w:val="24"/>
                <w:szCs w:val="24"/>
              </w:rPr>
              <w:t>以人工智能、云计算等前沿技术为基础，依托在航旅场景的深耕与布局，为持牌金融机构提供获客、运营、风控等多维度的金融科技服务，并协助金融机构完成数字化转型。</w:t>
            </w:r>
          </w:p>
          <w:p w14:paraId="4E73EF84" w14:textId="32453754" w:rsidR="00847EB4" w:rsidRPr="00450386" w:rsidRDefault="00847EB4" w:rsidP="001F354C">
            <w:pPr>
              <w:snapToGrid w:val="0"/>
              <w:jc w:val="left"/>
              <w:rPr>
                <w:rFonts w:asciiTheme="majorEastAsia" w:eastAsiaTheme="majorEastAsia" w:hAnsiTheme="majorEastAsia" w:cs="Times New Roman"/>
                <w:sz w:val="24"/>
                <w:szCs w:val="24"/>
              </w:rPr>
            </w:pPr>
            <w:r>
              <w:rPr>
                <w:rFonts w:asciiTheme="majorEastAsia" w:eastAsiaTheme="majorEastAsia" w:hAnsiTheme="majorEastAsia" w:cs="Times New Roman" w:hint="eastAsia"/>
                <w:sz w:val="24"/>
                <w:szCs w:val="24"/>
              </w:rPr>
              <w:t>上海晓途的最终控制人为自然人</w:t>
            </w:r>
            <w:r w:rsidRPr="002A14DD">
              <w:rPr>
                <w:rFonts w:asciiTheme="majorEastAsia" w:eastAsiaTheme="majorEastAsia" w:hAnsiTheme="majorEastAsia" w:cs="Times New Roman" w:hint="eastAsia"/>
                <w:sz w:val="24"/>
                <w:szCs w:val="24"/>
              </w:rPr>
              <w:t>邱冠宇</w:t>
            </w:r>
            <w:r>
              <w:rPr>
                <w:rFonts w:asciiTheme="majorEastAsia" w:eastAsiaTheme="majorEastAsia" w:hAnsiTheme="majorEastAsia" w:cs="Times New Roman" w:hint="eastAsia"/>
                <w:sz w:val="24"/>
                <w:szCs w:val="24"/>
              </w:rPr>
              <w:t>，其</w:t>
            </w:r>
            <w:r w:rsidRPr="002A14DD">
              <w:rPr>
                <w:rFonts w:asciiTheme="majorEastAsia" w:eastAsiaTheme="majorEastAsia" w:hAnsiTheme="majorEastAsia" w:cs="Times New Roman" w:hint="eastAsia"/>
                <w:sz w:val="24"/>
                <w:szCs w:val="24"/>
              </w:rPr>
              <w:t>主要公司业务是以人工智能、云计算等前沿技术为基础，依托在航旅场景的深耕与布局，为持牌金融机构提供获客、运营、风控等多维度的金融科技服务，并协助金融机构完成数字化转型。</w:t>
            </w:r>
          </w:p>
        </w:tc>
      </w:tr>
      <w:tr w:rsidR="00847EB4" w:rsidRPr="00450386" w14:paraId="4F7FE815" w14:textId="77777777" w:rsidTr="00847EB4">
        <w:trPr>
          <w:trHeight w:hRule="exact" w:val="1131"/>
        </w:trPr>
        <w:tc>
          <w:tcPr>
            <w:tcW w:w="1809" w:type="dxa"/>
            <w:vMerge/>
            <w:shd w:val="clear" w:color="auto" w:fill="D9D9D9"/>
          </w:tcPr>
          <w:p w14:paraId="166ED5E8" w14:textId="77777777" w:rsidR="00847EB4" w:rsidRPr="00450386" w:rsidRDefault="00847EB4" w:rsidP="001F354C">
            <w:pPr>
              <w:rPr>
                <w:rFonts w:asciiTheme="majorEastAsia" w:eastAsiaTheme="majorEastAsia" w:hAnsiTheme="majorEastAsia" w:cs="Times New Roman"/>
                <w:sz w:val="24"/>
                <w:szCs w:val="24"/>
              </w:rPr>
            </w:pPr>
          </w:p>
        </w:tc>
        <w:tc>
          <w:tcPr>
            <w:tcW w:w="1796" w:type="dxa"/>
          </w:tcPr>
          <w:p w14:paraId="3510D40A" w14:textId="33C46B71" w:rsidR="00847EB4" w:rsidRPr="00450386" w:rsidRDefault="00847EB4" w:rsidP="006C7BBA">
            <w:pPr>
              <w:pStyle w:val="a3"/>
              <w:numPr>
                <w:ilvl w:val="0"/>
                <w:numId w:val="1"/>
              </w:numPr>
              <w:ind w:firstLineChars="0"/>
              <w:rPr>
                <w:rFonts w:asciiTheme="majorEastAsia" w:eastAsiaTheme="majorEastAsia" w:hAnsiTheme="majorEastAsia" w:cs="Times New Roman"/>
                <w:sz w:val="24"/>
                <w:szCs w:val="24"/>
              </w:rPr>
            </w:pPr>
            <w:r>
              <w:rPr>
                <w:rFonts w:asciiTheme="majorEastAsia" w:eastAsiaTheme="majorEastAsia" w:hAnsiTheme="majorEastAsia" w:cs="Times New Roman" w:hint="eastAsia"/>
                <w:sz w:val="24"/>
                <w:szCs w:val="24"/>
              </w:rPr>
              <w:t>钱进小贷</w:t>
            </w:r>
          </w:p>
        </w:tc>
        <w:tc>
          <w:tcPr>
            <w:tcW w:w="5153" w:type="dxa"/>
          </w:tcPr>
          <w:p w14:paraId="61A3444B" w14:textId="418F4106" w:rsidR="00847EB4" w:rsidRDefault="00847EB4" w:rsidP="001F354C">
            <w:pPr>
              <w:snapToGrid w:val="0"/>
              <w:jc w:val="left"/>
              <w:rPr>
                <w:rFonts w:asciiTheme="majorEastAsia" w:eastAsiaTheme="majorEastAsia" w:hAnsiTheme="majorEastAsia" w:cs="Times New Roman"/>
                <w:sz w:val="24"/>
                <w:szCs w:val="24"/>
              </w:rPr>
            </w:pPr>
            <w:r w:rsidRPr="00847EB4">
              <w:rPr>
                <w:rFonts w:asciiTheme="majorEastAsia" w:eastAsiaTheme="majorEastAsia" w:hAnsiTheme="majorEastAsia" w:cs="Times New Roman" w:hint="eastAsia"/>
                <w:sz w:val="24"/>
                <w:szCs w:val="24"/>
              </w:rPr>
              <w:t>钱进小贷</w:t>
            </w:r>
            <w:r>
              <w:rPr>
                <w:rFonts w:asciiTheme="majorEastAsia" w:eastAsiaTheme="majorEastAsia" w:hAnsiTheme="majorEastAsia" w:cs="Times New Roman" w:hint="eastAsia"/>
                <w:sz w:val="24"/>
                <w:szCs w:val="24"/>
              </w:rPr>
              <w:t>于2</w:t>
            </w:r>
            <w:r>
              <w:rPr>
                <w:rFonts w:asciiTheme="majorEastAsia" w:eastAsiaTheme="majorEastAsia" w:hAnsiTheme="majorEastAsia" w:cs="Times New Roman"/>
                <w:sz w:val="24"/>
                <w:szCs w:val="24"/>
              </w:rPr>
              <w:t>016</w:t>
            </w:r>
            <w:r>
              <w:rPr>
                <w:rFonts w:asciiTheme="majorEastAsia" w:eastAsiaTheme="majorEastAsia" w:hAnsiTheme="majorEastAsia" w:cs="Times New Roman" w:hint="eastAsia"/>
                <w:sz w:val="24"/>
                <w:szCs w:val="24"/>
              </w:rPr>
              <w:t>年1</w:t>
            </w:r>
            <w:r>
              <w:rPr>
                <w:rFonts w:asciiTheme="majorEastAsia" w:eastAsiaTheme="majorEastAsia" w:hAnsiTheme="majorEastAsia" w:cs="Times New Roman"/>
                <w:sz w:val="24"/>
                <w:szCs w:val="24"/>
              </w:rPr>
              <w:t>1</w:t>
            </w:r>
            <w:r>
              <w:rPr>
                <w:rFonts w:asciiTheme="majorEastAsia" w:eastAsiaTheme="majorEastAsia" w:hAnsiTheme="majorEastAsia" w:cs="Times New Roman" w:hint="eastAsia"/>
                <w:sz w:val="24"/>
                <w:szCs w:val="24"/>
              </w:rPr>
              <w:t>月3</w:t>
            </w:r>
            <w:r>
              <w:rPr>
                <w:rFonts w:asciiTheme="majorEastAsia" w:eastAsiaTheme="majorEastAsia" w:hAnsiTheme="majorEastAsia" w:cs="Times New Roman"/>
                <w:sz w:val="24"/>
                <w:szCs w:val="24"/>
              </w:rPr>
              <w:t>0</w:t>
            </w:r>
            <w:r>
              <w:rPr>
                <w:rFonts w:asciiTheme="majorEastAsia" w:eastAsiaTheme="majorEastAsia" w:hAnsiTheme="majorEastAsia" w:cs="Times New Roman" w:hint="eastAsia"/>
                <w:sz w:val="24"/>
                <w:szCs w:val="24"/>
              </w:rPr>
              <w:t>日，</w:t>
            </w:r>
            <w:r w:rsidRPr="00847EB4">
              <w:rPr>
                <w:rFonts w:asciiTheme="majorEastAsia" w:eastAsiaTheme="majorEastAsia" w:hAnsiTheme="majorEastAsia" w:cs="Times New Roman" w:hint="eastAsia"/>
                <w:sz w:val="24"/>
                <w:szCs w:val="24"/>
              </w:rPr>
              <w:t>持有在中国从事办理各项小额贷款，小企业财务、管理顾问和咨询等服务业务的牌照。</w:t>
            </w:r>
          </w:p>
        </w:tc>
      </w:tr>
      <w:tr w:rsidR="009F76E6" w:rsidRPr="00450386" w14:paraId="4F5E2750" w14:textId="77777777" w:rsidTr="00E25570">
        <w:trPr>
          <w:trHeight w:val="279"/>
        </w:trPr>
        <w:tc>
          <w:tcPr>
            <w:tcW w:w="1809" w:type="dxa"/>
            <w:vMerge w:val="restart"/>
            <w:shd w:val="clear" w:color="auto" w:fill="D9D9D9"/>
          </w:tcPr>
          <w:p w14:paraId="76BB07C5" w14:textId="77777777" w:rsidR="009F76E6" w:rsidRPr="00450386" w:rsidRDefault="009F76E6" w:rsidP="001F354C">
            <w:pPr>
              <w:rPr>
                <w:rFonts w:asciiTheme="majorEastAsia" w:eastAsiaTheme="majorEastAsia" w:hAnsiTheme="majorEastAsia" w:cs="Times New Roman"/>
                <w:sz w:val="24"/>
                <w:szCs w:val="24"/>
              </w:rPr>
            </w:pPr>
            <w:r w:rsidRPr="00450386">
              <w:rPr>
                <w:rFonts w:asciiTheme="majorEastAsia" w:eastAsiaTheme="majorEastAsia" w:hAnsiTheme="majorEastAsia" w:cs="Times New Roman"/>
                <w:sz w:val="24"/>
                <w:szCs w:val="24"/>
              </w:rPr>
              <w:t>简易案件理由（可以单选，也可以多选）</w:t>
            </w:r>
          </w:p>
        </w:tc>
        <w:tc>
          <w:tcPr>
            <w:tcW w:w="6949" w:type="dxa"/>
            <w:gridSpan w:val="2"/>
          </w:tcPr>
          <w:p w14:paraId="002610C6" w14:textId="2DF4D6EE" w:rsidR="009F76E6" w:rsidRPr="00450386" w:rsidRDefault="00847EB4" w:rsidP="001F354C">
            <w:pPr>
              <w:rPr>
                <w:rFonts w:asciiTheme="majorEastAsia" w:eastAsiaTheme="majorEastAsia" w:hAnsiTheme="majorEastAsia" w:cs="Times New Roman"/>
                <w:sz w:val="24"/>
                <w:szCs w:val="24"/>
              </w:rPr>
            </w:pPr>
            <w:r w:rsidRPr="00450386">
              <w:rPr>
                <w:rFonts w:asciiTheme="majorEastAsia" w:eastAsiaTheme="majorEastAsia" w:hAnsiTheme="majorEastAsia" w:cs="Times New Roman"/>
                <w:sz w:val="24"/>
                <w:szCs w:val="24"/>
              </w:rPr>
              <w:t>□</w:t>
            </w:r>
            <w:r w:rsidR="009F76E6" w:rsidRPr="00450386">
              <w:rPr>
                <w:rFonts w:asciiTheme="majorEastAsia" w:eastAsiaTheme="majorEastAsia" w:hAnsiTheme="majorEastAsia" w:cs="Times New Roman"/>
                <w:sz w:val="24"/>
                <w:szCs w:val="24"/>
              </w:rPr>
              <w:t>1、在同一相关市场，所有参与集中的经营者所占市场份额之和小于15%。</w:t>
            </w:r>
          </w:p>
        </w:tc>
      </w:tr>
      <w:tr w:rsidR="009F76E6" w:rsidRPr="00450386" w14:paraId="08BB79E8" w14:textId="77777777" w:rsidTr="00E25570">
        <w:trPr>
          <w:trHeight w:val="330"/>
        </w:trPr>
        <w:tc>
          <w:tcPr>
            <w:tcW w:w="1809" w:type="dxa"/>
            <w:vMerge/>
            <w:shd w:val="clear" w:color="auto" w:fill="D9D9D9"/>
          </w:tcPr>
          <w:p w14:paraId="6A17086B" w14:textId="77777777" w:rsidR="009F76E6" w:rsidRPr="00450386" w:rsidRDefault="009F76E6" w:rsidP="001F354C">
            <w:pPr>
              <w:rPr>
                <w:rFonts w:asciiTheme="majorEastAsia" w:eastAsiaTheme="majorEastAsia" w:hAnsiTheme="majorEastAsia" w:cs="Times New Roman"/>
                <w:sz w:val="24"/>
                <w:szCs w:val="24"/>
              </w:rPr>
            </w:pPr>
          </w:p>
        </w:tc>
        <w:tc>
          <w:tcPr>
            <w:tcW w:w="6949" w:type="dxa"/>
            <w:gridSpan w:val="2"/>
          </w:tcPr>
          <w:p w14:paraId="10AAEFBA" w14:textId="2056FDF8" w:rsidR="009F76E6" w:rsidRPr="00450386" w:rsidRDefault="00847EB4" w:rsidP="001F354C">
            <w:pPr>
              <w:rPr>
                <w:rFonts w:asciiTheme="majorEastAsia" w:eastAsiaTheme="majorEastAsia" w:hAnsiTheme="majorEastAsia" w:cs="Times New Roman"/>
                <w:sz w:val="24"/>
                <w:szCs w:val="24"/>
              </w:rPr>
            </w:pPr>
            <w:r w:rsidRPr="00450386">
              <w:rPr>
                <w:rFonts w:asciiTheme="majorEastAsia" w:eastAsiaTheme="majorEastAsia" w:hAnsiTheme="majorEastAsia" w:cs="Times New Roman"/>
                <w:sz w:val="24"/>
                <w:szCs w:val="24"/>
              </w:rPr>
              <w:sym w:font="Wingdings" w:char="F0FE"/>
            </w:r>
            <w:r w:rsidR="009F76E6" w:rsidRPr="00450386">
              <w:rPr>
                <w:rFonts w:asciiTheme="majorEastAsia" w:eastAsiaTheme="majorEastAsia" w:hAnsiTheme="majorEastAsia" w:cs="Times New Roman"/>
                <w:sz w:val="24"/>
                <w:szCs w:val="24"/>
              </w:rPr>
              <w:t>2、存在上下游关系的参与集中的经营者，在上下游市场所占的市场份额均小于25%。</w:t>
            </w:r>
          </w:p>
        </w:tc>
      </w:tr>
      <w:tr w:rsidR="009F76E6" w:rsidRPr="00450386" w14:paraId="7F729F90" w14:textId="77777777" w:rsidTr="00E25570">
        <w:trPr>
          <w:trHeight w:val="285"/>
        </w:trPr>
        <w:tc>
          <w:tcPr>
            <w:tcW w:w="1809" w:type="dxa"/>
            <w:vMerge/>
            <w:shd w:val="clear" w:color="auto" w:fill="D9D9D9"/>
          </w:tcPr>
          <w:p w14:paraId="1B4069C3" w14:textId="77777777" w:rsidR="009F76E6" w:rsidRPr="00450386" w:rsidRDefault="009F76E6" w:rsidP="001F354C">
            <w:pPr>
              <w:rPr>
                <w:rFonts w:asciiTheme="majorEastAsia" w:eastAsiaTheme="majorEastAsia" w:hAnsiTheme="majorEastAsia" w:cs="Times New Roman"/>
                <w:sz w:val="24"/>
                <w:szCs w:val="24"/>
              </w:rPr>
            </w:pPr>
          </w:p>
        </w:tc>
        <w:tc>
          <w:tcPr>
            <w:tcW w:w="6949" w:type="dxa"/>
            <w:gridSpan w:val="2"/>
          </w:tcPr>
          <w:p w14:paraId="11262553" w14:textId="77777777" w:rsidR="009F76E6" w:rsidRPr="00450386" w:rsidRDefault="009F76E6" w:rsidP="001F354C">
            <w:pPr>
              <w:rPr>
                <w:rFonts w:asciiTheme="majorEastAsia" w:eastAsiaTheme="majorEastAsia" w:hAnsiTheme="majorEastAsia" w:cs="Times New Roman"/>
                <w:sz w:val="24"/>
                <w:szCs w:val="24"/>
              </w:rPr>
            </w:pPr>
            <w:r w:rsidRPr="00450386">
              <w:rPr>
                <w:rFonts w:asciiTheme="majorEastAsia" w:eastAsiaTheme="majorEastAsia" w:hAnsiTheme="majorEastAsia" w:cs="Times New Roman"/>
                <w:sz w:val="24"/>
                <w:szCs w:val="24"/>
              </w:rPr>
              <w:t>□3、不在同一相关市场、也不存在上下游关系的参与集中的经营者，在与交易有关的每个市场所占的份额均小于25%。</w:t>
            </w:r>
          </w:p>
        </w:tc>
      </w:tr>
      <w:tr w:rsidR="009F76E6" w:rsidRPr="00450386" w14:paraId="45C0A86C" w14:textId="77777777" w:rsidTr="00E25570">
        <w:trPr>
          <w:trHeight w:val="870"/>
        </w:trPr>
        <w:tc>
          <w:tcPr>
            <w:tcW w:w="1809" w:type="dxa"/>
            <w:vMerge/>
            <w:shd w:val="clear" w:color="auto" w:fill="D9D9D9"/>
          </w:tcPr>
          <w:p w14:paraId="6B606347" w14:textId="77777777" w:rsidR="009F76E6" w:rsidRPr="00450386" w:rsidRDefault="009F76E6" w:rsidP="001F354C">
            <w:pPr>
              <w:rPr>
                <w:rFonts w:asciiTheme="majorEastAsia" w:eastAsiaTheme="majorEastAsia" w:hAnsiTheme="majorEastAsia" w:cs="Times New Roman"/>
                <w:sz w:val="24"/>
                <w:szCs w:val="24"/>
              </w:rPr>
            </w:pPr>
          </w:p>
        </w:tc>
        <w:tc>
          <w:tcPr>
            <w:tcW w:w="6949" w:type="dxa"/>
            <w:gridSpan w:val="2"/>
          </w:tcPr>
          <w:p w14:paraId="6BCD8052" w14:textId="77777777" w:rsidR="009F76E6" w:rsidRPr="00450386" w:rsidRDefault="009F76E6" w:rsidP="001F354C">
            <w:pPr>
              <w:rPr>
                <w:rFonts w:asciiTheme="majorEastAsia" w:eastAsiaTheme="majorEastAsia" w:hAnsiTheme="majorEastAsia" w:cs="Times New Roman"/>
                <w:sz w:val="24"/>
                <w:szCs w:val="24"/>
              </w:rPr>
            </w:pPr>
            <w:r w:rsidRPr="00450386">
              <w:rPr>
                <w:rFonts w:asciiTheme="majorEastAsia" w:eastAsiaTheme="majorEastAsia" w:hAnsiTheme="majorEastAsia" w:cs="Times New Roman"/>
                <w:sz w:val="24"/>
                <w:szCs w:val="24"/>
              </w:rPr>
              <w:t>□4、参与集中的经营者在中国境外设立合营企业，合营企业不在中国境内从事经济活动。</w:t>
            </w:r>
          </w:p>
        </w:tc>
      </w:tr>
      <w:tr w:rsidR="009F76E6" w:rsidRPr="00450386" w14:paraId="5DD3AC9C" w14:textId="77777777" w:rsidTr="00E25570">
        <w:trPr>
          <w:trHeight w:val="264"/>
        </w:trPr>
        <w:tc>
          <w:tcPr>
            <w:tcW w:w="1809" w:type="dxa"/>
            <w:vMerge/>
            <w:shd w:val="clear" w:color="auto" w:fill="D9D9D9"/>
          </w:tcPr>
          <w:p w14:paraId="0B0A20F6" w14:textId="77777777" w:rsidR="009F76E6" w:rsidRPr="00450386" w:rsidRDefault="009F76E6" w:rsidP="001F354C">
            <w:pPr>
              <w:rPr>
                <w:rFonts w:asciiTheme="majorEastAsia" w:eastAsiaTheme="majorEastAsia" w:hAnsiTheme="majorEastAsia" w:cs="Times New Roman"/>
                <w:sz w:val="24"/>
                <w:szCs w:val="24"/>
              </w:rPr>
            </w:pPr>
          </w:p>
        </w:tc>
        <w:tc>
          <w:tcPr>
            <w:tcW w:w="6949" w:type="dxa"/>
            <w:gridSpan w:val="2"/>
          </w:tcPr>
          <w:p w14:paraId="1E9F3C29" w14:textId="77777777" w:rsidR="009F76E6" w:rsidRPr="00450386" w:rsidRDefault="00B9504A" w:rsidP="001F354C">
            <w:pPr>
              <w:rPr>
                <w:rFonts w:asciiTheme="majorEastAsia" w:eastAsiaTheme="majorEastAsia" w:hAnsiTheme="majorEastAsia" w:cs="Times New Roman"/>
                <w:sz w:val="24"/>
                <w:szCs w:val="24"/>
              </w:rPr>
            </w:pPr>
            <w:r w:rsidRPr="00450386">
              <w:rPr>
                <w:rFonts w:asciiTheme="majorEastAsia" w:eastAsiaTheme="majorEastAsia" w:hAnsiTheme="majorEastAsia" w:cs="Times New Roman"/>
                <w:sz w:val="24"/>
                <w:szCs w:val="24"/>
              </w:rPr>
              <w:t>□</w:t>
            </w:r>
            <w:r w:rsidR="009F76E6" w:rsidRPr="00450386">
              <w:rPr>
                <w:rFonts w:asciiTheme="majorEastAsia" w:eastAsiaTheme="majorEastAsia" w:hAnsiTheme="majorEastAsia" w:cs="Times New Roman"/>
                <w:sz w:val="24"/>
                <w:szCs w:val="24"/>
              </w:rPr>
              <w:t>5、参与集中的经营者收购境外企业股权或资产的，该境外企业不在中国境内从事经济活动。</w:t>
            </w:r>
          </w:p>
        </w:tc>
      </w:tr>
      <w:tr w:rsidR="009F76E6" w:rsidRPr="00450386" w14:paraId="5CD11FC2" w14:textId="77777777" w:rsidTr="00E25570">
        <w:trPr>
          <w:trHeight w:val="345"/>
        </w:trPr>
        <w:tc>
          <w:tcPr>
            <w:tcW w:w="1809" w:type="dxa"/>
            <w:vMerge/>
            <w:shd w:val="clear" w:color="auto" w:fill="D9D9D9"/>
          </w:tcPr>
          <w:p w14:paraId="1C91D3F6" w14:textId="77777777" w:rsidR="009F76E6" w:rsidRPr="00450386" w:rsidRDefault="009F76E6" w:rsidP="001F354C">
            <w:pPr>
              <w:rPr>
                <w:rFonts w:asciiTheme="majorEastAsia" w:eastAsiaTheme="majorEastAsia" w:hAnsiTheme="majorEastAsia" w:cs="Times New Roman"/>
                <w:sz w:val="24"/>
                <w:szCs w:val="24"/>
              </w:rPr>
            </w:pPr>
          </w:p>
        </w:tc>
        <w:tc>
          <w:tcPr>
            <w:tcW w:w="6949" w:type="dxa"/>
            <w:gridSpan w:val="2"/>
          </w:tcPr>
          <w:p w14:paraId="217D3E70" w14:textId="512BDA83" w:rsidR="009F76E6" w:rsidRPr="00450386" w:rsidRDefault="005F653C" w:rsidP="001F354C">
            <w:pPr>
              <w:rPr>
                <w:rFonts w:asciiTheme="majorEastAsia" w:eastAsiaTheme="majorEastAsia" w:hAnsiTheme="majorEastAsia" w:cs="Times New Roman"/>
                <w:sz w:val="24"/>
                <w:szCs w:val="24"/>
              </w:rPr>
            </w:pPr>
            <w:r w:rsidRPr="00450386">
              <w:rPr>
                <w:rFonts w:asciiTheme="majorEastAsia" w:eastAsiaTheme="majorEastAsia" w:hAnsiTheme="majorEastAsia" w:cs="Times New Roman"/>
                <w:sz w:val="24"/>
                <w:szCs w:val="24"/>
              </w:rPr>
              <w:t>□</w:t>
            </w:r>
            <w:r w:rsidR="009F76E6" w:rsidRPr="00450386">
              <w:rPr>
                <w:rFonts w:asciiTheme="majorEastAsia" w:eastAsiaTheme="majorEastAsia" w:hAnsiTheme="majorEastAsia" w:cs="Times New Roman"/>
                <w:sz w:val="24"/>
                <w:szCs w:val="24"/>
              </w:rPr>
              <w:t>6、由两个以上的经营者共同控制的合营企业，通过集中被其中一个或一个以上经营者控制。</w:t>
            </w:r>
          </w:p>
        </w:tc>
      </w:tr>
      <w:tr w:rsidR="009F76E6" w:rsidRPr="00450386" w14:paraId="246062D2" w14:textId="77777777" w:rsidTr="00E25570">
        <w:tc>
          <w:tcPr>
            <w:tcW w:w="1809" w:type="dxa"/>
            <w:shd w:val="clear" w:color="auto" w:fill="D9D9D9"/>
          </w:tcPr>
          <w:p w14:paraId="5DBC43D8" w14:textId="77777777" w:rsidR="009F76E6" w:rsidRPr="00450386" w:rsidRDefault="009F76E6" w:rsidP="001F354C">
            <w:pPr>
              <w:rPr>
                <w:rFonts w:asciiTheme="majorEastAsia" w:eastAsiaTheme="majorEastAsia" w:hAnsiTheme="majorEastAsia" w:cs="Times New Roman"/>
                <w:sz w:val="24"/>
                <w:szCs w:val="24"/>
              </w:rPr>
            </w:pPr>
            <w:r w:rsidRPr="00450386">
              <w:rPr>
                <w:rFonts w:asciiTheme="majorEastAsia" w:eastAsiaTheme="majorEastAsia" w:hAnsiTheme="majorEastAsia" w:cs="Times New Roman"/>
                <w:sz w:val="24"/>
                <w:szCs w:val="24"/>
              </w:rPr>
              <w:t>备注</w:t>
            </w:r>
          </w:p>
        </w:tc>
        <w:tc>
          <w:tcPr>
            <w:tcW w:w="6949" w:type="dxa"/>
            <w:gridSpan w:val="2"/>
          </w:tcPr>
          <w:p w14:paraId="2272FC80" w14:textId="6B45CBAB" w:rsidR="00DA7936" w:rsidRPr="00DA7936" w:rsidRDefault="002F2D5B" w:rsidP="00DA7936">
            <w:pPr>
              <w:rPr>
                <w:rFonts w:asciiTheme="majorEastAsia" w:eastAsiaTheme="majorEastAsia" w:hAnsiTheme="majorEastAsia" w:cs="Times New Roman"/>
                <w:b/>
                <w:bCs/>
                <w:sz w:val="24"/>
                <w:szCs w:val="24"/>
              </w:rPr>
            </w:pPr>
            <w:r>
              <w:rPr>
                <w:rFonts w:asciiTheme="majorEastAsia" w:eastAsiaTheme="majorEastAsia" w:hAnsiTheme="majorEastAsia" w:cs="Times New Roman" w:hint="eastAsia"/>
                <w:b/>
                <w:bCs/>
                <w:sz w:val="24"/>
                <w:szCs w:val="24"/>
              </w:rPr>
              <w:t>纵向关联</w:t>
            </w:r>
            <w:r w:rsidR="00DA7936" w:rsidRPr="00DA7936">
              <w:rPr>
                <w:rFonts w:asciiTheme="majorEastAsia" w:eastAsiaTheme="majorEastAsia" w:hAnsiTheme="majorEastAsia" w:cs="Times New Roman" w:hint="eastAsia"/>
                <w:b/>
                <w:bCs/>
                <w:sz w:val="24"/>
                <w:szCs w:val="24"/>
              </w:rPr>
              <w:t>：</w:t>
            </w:r>
          </w:p>
          <w:p w14:paraId="03D275EE" w14:textId="6E5D2E4A" w:rsidR="002F2D5B" w:rsidRDefault="002F2D5B" w:rsidP="00DA7936">
            <w:pPr>
              <w:rPr>
                <w:rFonts w:asciiTheme="majorEastAsia" w:eastAsiaTheme="majorEastAsia" w:hAnsiTheme="majorEastAsia" w:cs="Times New Roman"/>
                <w:sz w:val="24"/>
                <w:szCs w:val="24"/>
              </w:rPr>
            </w:pPr>
            <w:r>
              <w:rPr>
                <w:rFonts w:asciiTheme="majorEastAsia" w:eastAsiaTheme="majorEastAsia" w:hAnsiTheme="majorEastAsia" w:cs="Times New Roman" w:hint="eastAsia"/>
                <w:sz w:val="24"/>
                <w:szCs w:val="24"/>
              </w:rPr>
              <w:t>上游：</w:t>
            </w:r>
            <w:r w:rsidR="00DA7936" w:rsidRPr="00DA7936">
              <w:rPr>
                <w:rFonts w:asciiTheme="majorEastAsia" w:eastAsiaTheme="majorEastAsia" w:hAnsiTheme="majorEastAsia" w:cs="Times New Roman" w:hint="eastAsia"/>
                <w:sz w:val="24"/>
                <w:szCs w:val="24"/>
              </w:rPr>
              <w:t>202</w:t>
            </w:r>
            <w:r>
              <w:rPr>
                <w:rFonts w:asciiTheme="majorEastAsia" w:eastAsiaTheme="majorEastAsia" w:hAnsiTheme="majorEastAsia" w:cs="Times New Roman"/>
                <w:sz w:val="24"/>
                <w:szCs w:val="24"/>
              </w:rPr>
              <w:t>1</w:t>
            </w:r>
            <w:r w:rsidR="00DA7936" w:rsidRPr="00DA7936">
              <w:rPr>
                <w:rFonts w:asciiTheme="majorEastAsia" w:eastAsiaTheme="majorEastAsia" w:hAnsiTheme="majorEastAsia" w:cs="Times New Roman" w:hint="eastAsia"/>
                <w:sz w:val="24"/>
                <w:szCs w:val="24"/>
              </w:rPr>
              <w:t>年</w:t>
            </w:r>
            <w:r w:rsidRPr="002F2D5B">
              <w:rPr>
                <w:rFonts w:asciiTheme="majorEastAsia" w:eastAsiaTheme="majorEastAsia" w:hAnsiTheme="majorEastAsia" w:cs="Times New Roman" w:hint="eastAsia"/>
                <w:sz w:val="24"/>
                <w:szCs w:val="24"/>
              </w:rPr>
              <w:t>中国境内网络小额贷款市场</w:t>
            </w:r>
          </w:p>
          <w:p w14:paraId="541B3E40" w14:textId="222421AF" w:rsidR="003D483E" w:rsidRDefault="002F2D5B" w:rsidP="00DA7936">
            <w:pPr>
              <w:rPr>
                <w:rFonts w:asciiTheme="majorEastAsia" w:eastAsiaTheme="majorEastAsia" w:hAnsiTheme="majorEastAsia" w:cs="Times New Roman"/>
                <w:sz w:val="24"/>
                <w:szCs w:val="24"/>
              </w:rPr>
            </w:pPr>
            <w:r>
              <w:rPr>
                <w:rFonts w:asciiTheme="majorEastAsia" w:eastAsiaTheme="majorEastAsia" w:hAnsiTheme="majorEastAsia" w:cs="Times New Roman" w:hint="eastAsia"/>
                <w:sz w:val="24"/>
                <w:szCs w:val="24"/>
              </w:rPr>
              <w:t>钱进小贷：0</w:t>
            </w:r>
            <w:r>
              <w:rPr>
                <w:rFonts w:asciiTheme="majorEastAsia" w:eastAsiaTheme="majorEastAsia" w:hAnsiTheme="majorEastAsia" w:cs="Times New Roman"/>
                <w:sz w:val="24"/>
                <w:szCs w:val="24"/>
              </w:rPr>
              <w:t>-5%</w:t>
            </w:r>
          </w:p>
          <w:p w14:paraId="660E7B81" w14:textId="45251292" w:rsidR="002F2D5B" w:rsidRPr="002F2D5B" w:rsidRDefault="002F2D5B" w:rsidP="00DA7936">
            <w:pPr>
              <w:rPr>
                <w:rFonts w:asciiTheme="majorEastAsia" w:eastAsiaTheme="majorEastAsia" w:hAnsiTheme="majorEastAsia" w:cs="Times New Roman"/>
                <w:sz w:val="24"/>
                <w:szCs w:val="24"/>
              </w:rPr>
            </w:pPr>
            <w:r>
              <w:rPr>
                <w:rFonts w:asciiTheme="majorEastAsia" w:eastAsiaTheme="majorEastAsia" w:hAnsiTheme="majorEastAsia" w:cs="Times New Roman" w:hint="eastAsia"/>
                <w:sz w:val="24"/>
                <w:szCs w:val="24"/>
              </w:rPr>
              <w:t>下游：2</w:t>
            </w:r>
            <w:r>
              <w:rPr>
                <w:rFonts w:asciiTheme="majorEastAsia" w:eastAsiaTheme="majorEastAsia" w:hAnsiTheme="majorEastAsia" w:cs="Times New Roman"/>
                <w:sz w:val="24"/>
                <w:szCs w:val="24"/>
              </w:rPr>
              <w:t>021</w:t>
            </w:r>
            <w:r>
              <w:rPr>
                <w:rFonts w:asciiTheme="majorEastAsia" w:eastAsiaTheme="majorEastAsia" w:hAnsiTheme="majorEastAsia" w:cs="Times New Roman" w:hint="eastAsia"/>
                <w:sz w:val="24"/>
                <w:szCs w:val="24"/>
              </w:rPr>
              <w:t>年</w:t>
            </w:r>
            <w:r w:rsidRPr="002F2D5B">
              <w:rPr>
                <w:rFonts w:asciiTheme="majorEastAsia" w:eastAsiaTheme="majorEastAsia" w:hAnsiTheme="majorEastAsia" w:cs="Times New Roman" w:hint="eastAsia"/>
                <w:sz w:val="24"/>
                <w:szCs w:val="24"/>
              </w:rPr>
              <w:t>中国境内分期电商市场</w:t>
            </w:r>
          </w:p>
          <w:p w14:paraId="6C195F0D" w14:textId="5F2CF6C9" w:rsidR="002F2D5B" w:rsidRPr="002F2D5B" w:rsidRDefault="002F2D5B" w:rsidP="00B66ACE">
            <w:pPr>
              <w:rPr>
                <w:rFonts w:asciiTheme="majorEastAsia" w:eastAsiaTheme="majorEastAsia" w:hAnsiTheme="majorEastAsia" w:cs="Times New Roman"/>
                <w:sz w:val="24"/>
                <w:szCs w:val="24"/>
              </w:rPr>
            </w:pPr>
            <w:r>
              <w:rPr>
                <w:rFonts w:asciiTheme="majorEastAsia" w:eastAsiaTheme="majorEastAsia" w:hAnsiTheme="majorEastAsia" w:cs="Times New Roman" w:hint="eastAsia"/>
                <w:sz w:val="24"/>
                <w:szCs w:val="24"/>
              </w:rPr>
              <w:t>明珠数科：0</w:t>
            </w:r>
            <w:r>
              <w:rPr>
                <w:rFonts w:asciiTheme="majorEastAsia" w:eastAsiaTheme="majorEastAsia" w:hAnsiTheme="majorEastAsia" w:cs="Times New Roman"/>
                <w:sz w:val="24"/>
                <w:szCs w:val="24"/>
              </w:rPr>
              <w:t>-5%</w:t>
            </w:r>
            <w:r>
              <w:rPr>
                <w:rFonts w:asciiTheme="majorEastAsia" w:eastAsiaTheme="majorEastAsia" w:hAnsiTheme="majorEastAsia" w:cs="Times New Roman" w:hint="eastAsia"/>
                <w:sz w:val="24"/>
                <w:szCs w:val="24"/>
              </w:rPr>
              <w:t>，上海晓途</w:t>
            </w:r>
            <w:r w:rsidRPr="00DA7936">
              <w:rPr>
                <w:rFonts w:asciiTheme="majorEastAsia" w:eastAsiaTheme="majorEastAsia" w:hAnsiTheme="majorEastAsia" w:cs="Times New Roman" w:hint="eastAsia"/>
                <w:sz w:val="24"/>
                <w:szCs w:val="24"/>
              </w:rPr>
              <w:t>：0-5%</w:t>
            </w:r>
          </w:p>
        </w:tc>
      </w:tr>
    </w:tbl>
    <w:p w14:paraId="74706917" w14:textId="1CFB762B" w:rsidR="009F76E6" w:rsidRPr="009F76E6" w:rsidRDefault="009F76E6" w:rsidP="009F76E6">
      <w:pPr>
        <w:rPr>
          <w:rFonts w:ascii="Times New Roman" w:eastAsia="仿宋" w:hAnsi="Times New Roman" w:cs="Times New Roman"/>
          <w:szCs w:val="21"/>
        </w:rPr>
      </w:pPr>
    </w:p>
    <w:sectPr w:rsidR="009F76E6" w:rsidRPr="009F76E6" w:rsidSect="00BD1EB5">
      <w:pgSz w:w="11906" w:h="16838"/>
      <w:pgMar w:top="1440" w:right="1758" w:bottom="1440" w:left="175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7960C5" w14:textId="77777777" w:rsidR="009E0DE6" w:rsidRDefault="009E0DE6" w:rsidP="00E346A4">
      <w:r>
        <w:separator/>
      </w:r>
    </w:p>
  </w:endnote>
  <w:endnote w:type="continuationSeparator" w:id="0">
    <w:p w14:paraId="0CEDD958" w14:textId="77777777" w:rsidR="009E0DE6" w:rsidRDefault="009E0DE6" w:rsidP="00E346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2E64E4" w14:textId="77777777" w:rsidR="009E0DE6" w:rsidRDefault="009E0DE6" w:rsidP="00E346A4">
      <w:r>
        <w:separator/>
      </w:r>
    </w:p>
  </w:footnote>
  <w:footnote w:type="continuationSeparator" w:id="0">
    <w:p w14:paraId="572D48A1" w14:textId="77777777" w:rsidR="009E0DE6" w:rsidRDefault="009E0DE6" w:rsidP="00E346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650DCC"/>
    <w:multiLevelType w:val="hybridMultilevel"/>
    <w:tmpl w:val="6FBC15D0"/>
    <w:lvl w:ilvl="0" w:tplc="5A1A1A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38F1F3D"/>
    <w:multiLevelType w:val="hybridMultilevel"/>
    <w:tmpl w:val="454A7D80"/>
    <w:lvl w:ilvl="0" w:tplc="85CEC558">
      <w:start w:val="1"/>
      <w:numFmt w:val="decimal"/>
      <w:lvlText w:val="(%1)"/>
      <w:lvlJc w:val="left"/>
      <w:pPr>
        <w:ind w:left="520" w:hanging="420"/>
      </w:pPr>
      <w:rPr>
        <w:rFonts w:hint="eastAsia"/>
        <w:b/>
      </w:rPr>
    </w:lvl>
    <w:lvl w:ilvl="1" w:tplc="04090019" w:tentative="1">
      <w:start w:val="1"/>
      <w:numFmt w:val="lowerLetter"/>
      <w:lvlText w:val="%2)"/>
      <w:lvlJc w:val="left"/>
      <w:pPr>
        <w:ind w:left="940" w:hanging="420"/>
      </w:pPr>
    </w:lvl>
    <w:lvl w:ilvl="2" w:tplc="0409001B" w:tentative="1">
      <w:start w:val="1"/>
      <w:numFmt w:val="lowerRoman"/>
      <w:lvlText w:val="%3."/>
      <w:lvlJc w:val="right"/>
      <w:pPr>
        <w:ind w:left="1360" w:hanging="420"/>
      </w:pPr>
    </w:lvl>
    <w:lvl w:ilvl="3" w:tplc="0409000F" w:tentative="1">
      <w:start w:val="1"/>
      <w:numFmt w:val="decimal"/>
      <w:lvlText w:val="%4."/>
      <w:lvlJc w:val="left"/>
      <w:pPr>
        <w:ind w:left="1780" w:hanging="420"/>
      </w:pPr>
    </w:lvl>
    <w:lvl w:ilvl="4" w:tplc="04090019" w:tentative="1">
      <w:start w:val="1"/>
      <w:numFmt w:val="lowerLetter"/>
      <w:lvlText w:val="%5)"/>
      <w:lvlJc w:val="left"/>
      <w:pPr>
        <w:ind w:left="2200" w:hanging="420"/>
      </w:pPr>
    </w:lvl>
    <w:lvl w:ilvl="5" w:tplc="0409001B" w:tentative="1">
      <w:start w:val="1"/>
      <w:numFmt w:val="lowerRoman"/>
      <w:lvlText w:val="%6."/>
      <w:lvlJc w:val="right"/>
      <w:pPr>
        <w:ind w:left="2620" w:hanging="420"/>
      </w:pPr>
    </w:lvl>
    <w:lvl w:ilvl="6" w:tplc="0409000F" w:tentative="1">
      <w:start w:val="1"/>
      <w:numFmt w:val="decimal"/>
      <w:lvlText w:val="%7."/>
      <w:lvlJc w:val="left"/>
      <w:pPr>
        <w:ind w:left="3040" w:hanging="420"/>
      </w:pPr>
    </w:lvl>
    <w:lvl w:ilvl="7" w:tplc="04090019" w:tentative="1">
      <w:start w:val="1"/>
      <w:numFmt w:val="lowerLetter"/>
      <w:lvlText w:val="%8)"/>
      <w:lvlJc w:val="left"/>
      <w:pPr>
        <w:ind w:left="3460" w:hanging="420"/>
      </w:pPr>
    </w:lvl>
    <w:lvl w:ilvl="8" w:tplc="0409001B" w:tentative="1">
      <w:start w:val="1"/>
      <w:numFmt w:val="lowerRoman"/>
      <w:lvlText w:val="%9."/>
      <w:lvlJc w:val="right"/>
      <w:pPr>
        <w:ind w:left="38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bordersDoNotSurroundHeader/>
  <w:bordersDoNotSurroundFooter/>
  <w:hideSpellingErrors/>
  <w:hideGrammaticalErrors/>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U0sDA1NzS0MDQ0MzVV0lEKTi0uzszPAykwrgUALhK6ZCwAAAA="/>
  </w:docVars>
  <w:rsids>
    <w:rsidRoot w:val="009F76E6"/>
    <w:rsid w:val="00003D29"/>
    <w:rsid w:val="0000442A"/>
    <w:rsid w:val="0001099F"/>
    <w:rsid w:val="000616C2"/>
    <w:rsid w:val="000725D4"/>
    <w:rsid w:val="000738E8"/>
    <w:rsid w:val="000A5F74"/>
    <w:rsid w:val="000E7BBF"/>
    <w:rsid w:val="000F1E8C"/>
    <w:rsid w:val="001329B2"/>
    <w:rsid w:val="00142C9A"/>
    <w:rsid w:val="00153525"/>
    <w:rsid w:val="0018045F"/>
    <w:rsid w:val="001A064E"/>
    <w:rsid w:val="001B367C"/>
    <w:rsid w:val="001F354C"/>
    <w:rsid w:val="001F6C72"/>
    <w:rsid w:val="00221FE3"/>
    <w:rsid w:val="00271168"/>
    <w:rsid w:val="00276DFC"/>
    <w:rsid w:val="00297D10"/>
    <w:rsid w:val="002A14DD"/>
    <w:rsid w:val="002B4820"/>
    <w:rsid w:val="002F2D5B"/>
    <w:rsid w:val="00302B56"/>
    <w:rsid w:val="003214D0"/>
    <w:rsid w:val="00341E42"/>
    <w:rsid w:val="003636A1"/>
    <w:rsid w:val="003737C9"/>
    <w:rsid w:val="003745D0"/>
    <w:rsid w:val="00392695"/>
    <w:rsid w:val="003966A7"/>
    <w:rsid w:val="003A144D"/>
    <w:rsid w:val="003B603A"/>
    <w:rsid w:val="003C69E4"/>
    <w:rsid w:val="003D483E"/>
    <w:rsid w:val="003E7104"/>
    <w:rsid w:val="003F7EF9"/>
    <w:rsid w:val="0042481C"/>
    <w:rsid w:val="0043644F"/>
    <w:rsid w:val="00442E94"/>
    <w:rsid w:val="00446BD7"/>
    <w:rsid w:val="00450386"/>
    <w:rsid w:val="00493E25"/>
    <w:rsid w:val="00495838"/>
    <w:rsid w:val="004D1C21"/>
    <w:rsid w:val="004D49CE"/>
    <w:rsid w:val="004F7678"/>
    <w:rsid w:val="00502B0A"/>
    <w:rsid w:val="00523447"/>
    <w:rsid w:val="00524010"/>
    <w:rsid w:val="0053354E"/>
    <w:rsid w:val="00540DD7"/>
    <w:rsid w:val="00564E5B"/>
    <w:rsid w:val="005B2307"/>
    <w:rsid w:val="005F653C"/>
    <w:rsid w:val="0060676A"/>
    <w:rsid w:val="00635CCF"/>
    <w:rsid w:val="00694727"/>
    <w:rsid w:val="006C7BBA"/>
    <w:rsid w:val="006D06B6"/>
    <w:rsid w:val="006E7EB6"/>
    <w:rsid w:val="00714A1A"/>
    <w:rsid w:val="00720206"/>
    <w:rsid w:val="00722D69"/>
    <w:rsid w:val="00741064"/>
    <w:rsid w:val="00770F30"/>
    <w:rsid w:val="007D2958"/>
    <w:rsid w:val="007E11F6"/>
    <w:rsid w:val="007F0D41"/>
    <w:rsid w:val="00801D23"/>
    <w:rsid w:val="00847EB4"/>
    <w:rsid w:val="00851030"/>
    <w:rsid w:val="0085229C"/>
    <w:rsid w:val="00866B45"/>
    <w:rsid w:val="00867EAB"/>
    <w:rsid w:val="00883648"/>
    <w:rsid w:val="008918C7"/>
    <w:rsid w:val="00897642"/>
    <w:rsid w:val="008F25EB"/>
    <w:rsid w:val="00936065"/>
    <w:rsid w:val="00955561"/>
    <w:rsid w:val="00962981"/>
    <w:rsid w:val="00967EF7"/>
    <w:rsid w:val="009B7818"/>
    <w:rsid w:val="009C2A13"/>
    <w:rsid w:val="009D41BB"/>
    <w:rsid w:val="009E0DE6"/>
    <w:rsid w:val="009F705B"/>
    <w:rsid w:val="009F76E6"/>
    <w:rsid w:val="00A07D03"/>
    <w:rsid w:val="00A15FC8"/>
    <w:rsid w:val="00A23E59"/>
    <w:rsid w:val="00A6335D"/>
    <w:rsid w:val="00AA622E"/>
    <w:rsid w:val="00AC03B4"/>
    <w:rsid w:val="00AE1099"/>
    <w:rsid w:val="00AE25D4"/>
    <w:rsid w:val="00AF6D3B"/>
    <w:rsid w:val="00B01844"/>
    <w:rsid w:val="00B24F86"/>
    <w:rsid w:val="00B26275"/>
    <w:rsid w:val="00B3621D"/>
    <w:rsid w:val="00B54322"/>
    <w:rsid w:val="00B66ACE"/>
    <w:rsid w:val="00B9504A"/>
    <w:rsid w:val="00BA2A0F"/>
    <w:rsid w:val="00BD1EB5"/>
    <w:rsid w:val="00C14844"/>
    <w:rsid w:val="00C1616D"/>
    <w:rsid w:val="00C22FBB"/>
    <w:rsid w:val="00C4611C"/>
    <w:rsid w:val="00C76301"/>
    <w:rsid w:val="00C84521"/>
    <w:rsid w:val="00CD0590"/>
    <w:rsid w:val="00CD2B83"/>
    <w:rsid w:val="00CE2AD9"/>
    <w:rsid w:val="00CE41B2"/>
    <w:rsid w:val="00CE5148"/>
    <w:rsid w:val="00CE76BA"/>
    <w:rsid w:val="00D05FAC"/>
    <w:rsid w:val="00D1014B"/>
    <w:rsid w:val="00DA7936"/>
    <w:rsid w:val="00DB0D46"/>
    <w:rsid w:val="00DB1A28"/>
    <w:rsid w:val="00DC05F1"/>
    <w:rsid w:val="00DC7C35"/>
    <w:rsid w:val="00DC7E4E"/>
    <w:rsid w:val="00E078DB"/>
    <w:rsid w:val="00E10A74"/>
    <w:rsid w:val="00E215EB"/>
    <w:rsid w:val="00E324A6"/>
    <w:rsid w:val="00E346A4"/>
    <w:rsid w:val="00E50AF6"/>
    <w:rsid w:val="00E6194B"/>
    <w:rsid w:val="00E75685"/>
    <w:rsid w:val="00EC6D06"/>
    <w:rsid w:val="00F5276B"/>
    <w:rsid w:val="00F82254"/>
    <w:rsid w:val="00F86C79"/>
    <w:rsid w:val="00F929D0"/>
    <w:rsid w:val="00FA0E91"/>
    <w:rsid w:val="00FA17C4"/>
    <w:rsid w:val="00FA33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7310B6"/>
  <w15:docId w15:val="{6778F997-8E03-4CC7-ADD5-98B856C86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76E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0738E8"/>
    <w:pPr>
      <w:ind w:firstLineChars="200" w:firstLine="420"/>
    </w:pPr>
  </w:style>
  <w:style w:type="paragraph" w:styleId="a4">
    <w:name w:val="header"/>
    <w:basedOn w:val="a"/>
    <w:link w:val="a5"/>
    <w:uiPriority w:val="99"/>
    <w:unhideWhenUsed/>
    <w:rsid w:val="00E346A4"/>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E346A4"/>
    <w:rPr>
      <w:sz w:val="18"/>
      <w:szCs w:val="18"/>
    </w:rPr>
  </w:style>
  <w:style w:type="paragraph" w:styleId="a6">
    <w:name w:val="footer"/>
    <w:basedOn w:val="a"/>
    <w:link w:val="a7"/>
    <w:uiPriority w:val="99"/>
    <w:unhideWhenUsed/>
    <w:rsid w:val="00E346A4"/>
    <w:pPr>
      <w:tabs>
        <w:tab w:val="center" w:pos="4153"/>
        <w:tab w:val="right" w:pos="8306"/>
      </w:tabs>
      <w:snapToGrid w:val="0"/>
      <w:jc w:val="left"/>
    </w:pPr>
    <w:rPr>
      <w:sz w:val="18"/>
      <w:szCs w:val="18"/>
    </w:rPr>
  </w:style>
  <w:style w:type="character" w:customStyle="1" w:styleId="a7">
    <w:name w:val="页脚 字符"/>
    <w:basedOn w:val="a0"/>
    <w:link w:val="a6"/>
    <w:uiPriority w:val="99"/>
    <w:rsid w:val="00E346A4"/>
    <w:rPr>
      <w:sz w:val="18"/>
      <w:szCs w:val="18"/>
    </w:rPr>
  </w:style>
  <w:style w:type="paragraph" w:styleId="a8">
    <w:name w:val="Balloon Text"/>
    <w:basedOn w:val="a"/>
    <w:link w:val="a9"/>
    <w:uiPriority w:val="99"/>
    <w:semiHidden/>
    <w:unhideWhenUsed/>
    <w:rsid w:val="00E346A4"/>
    <w:rPr>
      <w:sz w:val="18"/>
      <w:szCs w:val="18"/>
    </w:rPr>
  </w:style>
  <w:style w:type="character" w:customStyle="1" w:styleId="a9">
    <w:name w:val="批注框文本 字符"/>
    <w:basedOn w:val="a0"/>
    <w:link w:val="a8"/>
    <w:uiPriority w:val="99"/>
    <w:semiHidden/>
    <w:rsid w:val="00E346A4"/>
    <w:rPr>
      <w:sz w:val="18"/>
      <w:szCs w:val="18"/>
    </w:rPr>
  </w:style>
  <w:style w:type="paragraph" w:styleId="aa">
    <w:name w:val="Revision"/>
    <w:hidden/>
    <w:uiPriority w:val="99"/>
    <w:semiHidden/>
    <w:rsid w:val="00271168"/>
  </w:style>
  <w:style w:type="table" w:styleId="ab">
    <w:name w:val="Table Grid"/>
    <w:basedOn w:val="a1"/>
    <w:uiPriority w:val="39"/>
    <w:rsid w:val="00AF6D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032924">
      <w:bodyDiv w:val="1"/>
      <w:marLeft w:val="0"/>
      <w:marRight w:val="0"/>
      <w:marTop w:val="0"/>
      <w:marBottom w:val="0"/>
      <w:divBdr>
        <w:top w:val="none" w:sz="0" w:space="0" w:color="auto"/>
        <w:left w:val="none" w:sz="0" w:space="0" w:color="auto"/>
        <w:bottom w:val="none" w:sz="0" w:space="0" w:color="auto"/>
        <w:right w:val="none" w:sz="0" w:space="0" w:color="auto"/>
      </w:divBdr>
    </w:div>
    <w:div w:id="1101953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158</Words>
  <Characters>903</Characters>
  <Application>Microsoft Office Word</Application>
  <DocSecurity>0</DocSecurity>
  <Lines>7</Lines>
  <Paragraphs>2</Paragraphs>
  <ScaleCrop>false</ScaleCrop>
  <Company/>
  <LinksUpToDate>false</LinksUpToDate>
  <CharactersWithSpaces>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Microsoft</cp:lastModifiedBy>
  <cp:revision>3</cp:revision>
  <dcterms:created xsi:type="dcterms:W3CDTF">2022-10-20T19:22:00Z</dcterms:created>
  <dcterms:modified xsi:type="dcterms:W3CDTF">2022-10-21T07:20:00Z</dcterms:modified>
</cp:coreProperties>
</file>