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9451E" w14:textId="77777777" w:rsidR="00446B02" w:rsidRDefault="00000000">
      <w:pPr>
        <w:snapToGrid w:val="0"/>
        <w:spacing w:afterLines="50" w:after="156"/>
        <w:jc w:val="center"/>
        <w:rPr>
          <w:rFonts w:ascii="Times New Roman" w:eastAsia="黑体" w:hAnsi="Times New Roman"/>
          <w:b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050"/>
        <w:gridCol w:w="5153"/>
      </w:tblGrid>
      <w:tr w:rsidR="00446B02" w14:paraId="68139ED4" w14:textId="77777777">
        <w:tc>
          <w:tcPr>
            <w:tcW w:w="1555" w:type="dxa"/>
            <w:shd w:val="clear" w:color="auto" w:fill="D9D9D9"/>
            <w:vAlign w:val="center"/>
          </w:tcPr>
          <w:p w14:paraId="70DD6B75" w14:textId="77777777" w:rsidR="00446B02" w:rsidRDefault="00000000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</w:tcPr>
          <w:p w14:paraId="7970665B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cs="宋体" w:hint="eastAsia"/>
                <w:kern w:val="0"/>
                <w:sz w:val="24"/>
                <w:szCs w:val="24"/>
                <w:lang w:eastAsia="zh-Hans"/>
              </w:rPr>
              <w:t>沙特阿美电力公司收购</w:t>
            </w:r>
            <w:r>
              <w:rPr>
                <w:rFonts w:cs="宋体"/>
                <w:kern w:val="0"/>
                <w:sz w:val="24"/>
                <w:szCs w:val="24"/>
                <w:lang w:eastAsia="zh-Hans"/>
              </w:rPr>
              <w:t>韩国电力公社</w:t>
            </w:r>
            <w:r>
              <w:rPr>
                <w:rFonts w:cs="宋体" w:hint="eastAsia"/>
                <w:kern w:val="0"/>
                <w:sz w:val="24"/>
                <w:szCs w:val="24"/>
                <w:lang w:eastAsia="zh-Hans"/>
              </w:rPr>
              <w:t>之电力公司股权案</w:t>
            </w:r>
          </w:p>
        </w:tc>
      </w:tr>
      <w:tr w:rsidR="00446B02" w14:paraId="20AAD06B" w14:textId="77777777">
        <w:trPr>
          <w:trHeight w:val="993"/>
        </w:trPr>
        <w:tc>
          <w:tcPr>
            <w:tcW w:w="1555" w:type="dxa"/>
            <w:shd w:val="clear" w:color="auto" w:fill="D9D9D9"/>
            <w:vAlign w:val="center"/>
          </w:tcPr>
          <w:p w14:paraId="53C108E6" w14:textId="77777777" w:rsidR="00446B02" w:rsidRDefault="00000000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交易概况（限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字内）</w:t>
            </w:r>
          </w:p>
        </w:tc>
        <w:tc>
          <w:tcPr>
            <w:tcW w:w="7203" w:type="dxa"/>
            <w:gridSpan w:val="2"/>
          </w:tcPr>
          <w:p w14:paraId="2F7F5040" w14:textId="7446E605" w:rsidR="00446B02" w:rsidRDefault="00000000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本交易涉及</w:t>
            </w:r>
            <w:r>
              <w:rPr>
                <w:rFonts w:cs="宋体" w:hint="eastAsia"/>
                <w:kern w:val="0"/>
                <w:sz w:val="24"/>
                <w:szCs w:val="24"/>
                <w:lang w:eastAsia="zh-Hans"/>
              </w:rPr>
              <w:t>沙特阿美电力公司（“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阿美电力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”，</w:t>
            </w:r>
            <w:r>
              <w:rPr>
                <w:rFonts w:cs="Times New Roman Regular" w:hint="eastAsia"/>
                <w:sz w:val="24"/>
                <w:szCs w:val="24"/>
              </w:rPr>
              <w:t>沙特阿拉伯国家石油公司</w:t>
            </w:r>
            <w:r>
              <w:rPr>
                <w:rFonts w:cs="Times New Roman Regular" w:hint="eastAsia"/>
                <w:sz w:val="24"/>
                <w:szCs w:val="24"/>
                <w:lang w:eastAsia="zh-Hans"/>
              </w:rPr>
              <w:t>（“</w:t>
            </w:r>
            <w:r>
              <w:rPr>
                <w:rFonts w:cs="Times New Roman Regular" w:hint="eastAsia"/>
                <w:b/>
                <w:bCs/>
                <w:sz w:val="24"/>
                <w:szCs w:val="24"/>
              </w:rPr>
              <w:t>沙特阿美</w:t>
            </w:r>
            <w:r>
              <w:rPr>
                <w:rFonts w:cs="Times New Roman Regular" w:hint="eastAsia"/>
                <w:sz w:val="24"/>
                <w:szCs w:val="24"/>
                <w:lang w:eastAsia="zh-Hans"/>
              </w:rPr>
              <w:t>”）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的全资子公司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），向</w:t>
            </w:r>
            <w:r>
              <w:rPr>
                <w:rFonts w:cs="宋体"/>
                <w:kern w:val="0"/>
                <w:sz w:val="24"/>
                <w:szCs w:val="24"/>
                <w:lang w:eastAsia="zh-Hans"/>
              </w:rPr>
              <w:t>韩国电力公社</w:t>
            </w:r>
            <w:r>
              <w:rPr>
                <w:rFonts w:cs="宋体" w:hint="eastAsia"/>
                <w:kern w:val="0"/>
                <w:sz w:val="24"/>
                <w:szCs w:val="24"/>
                <w:lang w:eastAsia="zh-Hans"/>
              </w:rPr>
              <w:t>（“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韩国电力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”）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收购</w:t>
            </w:r>
            <w:r>
              <w:rPr>
                <w:rFonts w:cs="宋体"/>
                <w:kern w:val="0"/>
                <w:sz w:val="24"/>
                <w:szCs w:val="24"/>
                <w:lang w:eastAsia="zh-Hans"/>
              </w:rPr>
              <w:t>韩国电力公社</w:t>
            </w:r>
            <w:r>
              <w:rPr>
                <w:rFonts w:cs="宋体" w:hint="eastAsia"/>
                <w:kern w:val="0"/>
                <w:sz w:val="24"/>
                <w:szCs w:val="24"/>
                <w:lang w:eastAsia="zh-Hans"/>
              </w:rPr>
              <w:t>之电力公司（“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目标公司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”）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股权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，</w:t>
            </w:r>
            <w:r w:rsid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目标公司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将在沙特阿拉伯王国贾富拉开发、融资、设计、建造、运维一家绿地性质的热电联产厂。</w:t>
            </w:r>
          </w:p>
          <w:p w14:paraId="423661EB" w14:textId="77777777" w:rsidR="00446B02" w:rsidRDefault="00446B02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 w14:paraId="3B5756D4" w14:textId="28FFD32B" w:rsidR="00446B02" w:rsidRDefault="00000000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交易前，目标公司由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韩国电力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00%</w:t>
            </w:r>
            <w:r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并</w:t>
            </w:r>
            <w:r>
              <w:rPr>
                <w:rFonts w:ascii="Times New Roman" w:hAnsi="Times New Roman" w:hint="eastAsia"/>
                <w:sz w:val="24"/>
                <w:szCs w:val="24"/>
              </w:rPr>
              <w:t>单独控制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交易后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，沙特阿美（通过阿美电力）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与韩国电力分别持有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其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全部已发行股份的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40%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60%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并共同控制</w:t>
            </w:r>
            <w:r w:rsidR="00610D84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目标公司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446B02" w14:paraId="2246EFFF" w14:textId="77777777">
        <w:trPr>
          <w:trHeight w:val="468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540A64B3" w14:textId="77777777" w:rsidR="00446B02" w:rsidRDefault="00000000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参与集中的经营者简介（每个限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100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2050" w:type="dxa"/>
            <w:vAlign w:val="center"/>
          </w:tcPr>
          <w:p w14:paraId="2DC5F9F9" w14:textId="77777777" w:rsidR="00446B02" w:rsidRDefault="00000000">
            <w:pPr>
              <w:pStyle w:val="af1"/>
              <w:numPr>
                <w:ilvl w:val="0"/>
                <w:numId w:val="1"/>
              </w:numPr>
              <w:snapToGrid w:val="0"/>
              <w:ind w:firstLineChars="0"/>
              <w:rPr>
                <w:rFonts w:eastAsia="宋体"/>
                <w:kern w:val="0"/>
                <w:sz w:val="24"/>
                <w:szCs w:val="24"/>
              </w:rPr>
            </w:pPr>
            <w:r>
              <w:rPr>
                <w:rFonts w:eastAsia="宋体" w:hint="eastAsia"/>
                <w:kern w:val="0"/>
                <w:sz w:val="24"/>
                <w:szCs w:val="24"/>
              </w:rPr>
              <w:t>阿美</w:t>
            </w:r>
            <w:r>
              <w:rPr>
                <w:rFonts w:eastAsia="宋体" w:hint="eastAsia"/>
                <w:kern w:val="0"/>
                <w:sz w:val="24"/>
                <w:szCs w:val="24"/>
                <w:lang w:eastAsia="zh-Hans"/>
              </w:rPr>
              <w:t>电力</w:t>
            </w:r>
          </w:p>
        </w:tc>
        <w:tc>
          <w:tcPr>
            <w:tcW w:w="5153" w:type="dxa"/>
          </w:tcPr>
          <w:p w14:paraId="1F13A238" w14:textId="77777777" w:rsidR="00446B02" w:rsidRDefault="0000000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阿美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电力</w:t>
            </w:r>
            <w:r>
              <w:rPr>
                <w:rFonts w:ascii="Times New Roman" w:hAnsi="Times New Roman" w:hint="eastAsia"/>
                <w:sz w:val="24"/>
                <w:szCs w:val="24"/>
              </w:rPr>
              <w:t>2014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9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日在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沙特阿拉伯王国</w:t>
            </w:r>
            <w:r>
              <w:rPr>
                <w:rFonts w:ascii="Times New Roman" w:hAnsi="Times New Roman" w:hint="eastAsia"/>
                <w:sz w:val="24"/>
                <w:szCs w:val="24"/>
              </w:rPr>
              <w:t>注册成立，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其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业务活动主要是发电、输电和配电，以及在能源、电力、化工、石油和石化行业开发项目和公司。</w:t>
            </w:r>
          </w:p>
          <w:p w14:paraId="4F43133D" w14:textId="77777777" w:rsidR="00446B02" w:rsidRDefault="00446B02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 w14:paraId="5B45DD48" w14:textId="77777777" w:rsidR="00446B02" w:rsidRDefault="0000000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阿美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电力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最终由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沙特阿美</w:t>
            </w:r>
            <w:r>
              <w:rPr>
                <w:rFonts w:ascii="Times New Roman" w:hAnsi="Times New Roman" w:hint="eastAsia"/>
                <w:sz w:val="24"/>
                <w:szCs w:val="24"/>
              </w:rPr>
              <w:t>控制，后者主要从事探矿、勘探、钻探和烃类物质提取，以及该等物质的加工、制造、提炼和销售。</w:t>
            </w:r>
          </w:p>
        </w:tc>
      </w:tr>
      <w:tr w:rsidR="00446B02" w14:paraId="35086354" w14:textId="77777777">
        <w:trPr>
          <w:trHeight w:val="274"/>
        </w:trPr>
        <w:tc>
          <w:tcPr>
            <w:tcW w:w="1555" w:type="dxa"/>
            <w:vMerge/>
            <w:shd w:val="clear" w:color="auto" w:fill="D9D9D9"/>
            <w:vAlign w:val="center"/>
          </w:tcPr>
          <w:p w14:paraId="1671BF23" w14:textId="77777777" w:rsidR="00446B02" w:rsidRDefault="00446B02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2050" w:type="dxa"/>
            <w:vAlign w:val="center"/>
          </w:tcPr>
          <w:p w14:paraId="24BE6FB8" w14:textId="77777777" w:rsidR="00446B02" w:rsidRDefault="00000000">
            <w:pPr>
              <w:pStyle w:val="af1"/>
              <w:numPr>
                <w:ilvl w:val="0"/>
                <w:numId w:val="1"/>
              </w:numPr>
              <w:snapToGrid w:val="0"/>
              <w:ind w:firstLineChars="0"/>
              <w:rPr>
                <w:rFonts w:eastAsia="宋体"/>
                <w:kern w:val="0"/>
                <w:sz w:val="24"/>
                <w:szCs w:val="24"/>
              </w:rPr>
            </w:pPr>
            <w:r>
              <w:rPr>
                <w:rFonts w:eastAsia="宋体" w:hint="eastAsia"/>
                <w:kern w:val="0"/>
                <w:sz w:val="24"/>
                <w:szCs w:val="24"/>
                <w:lang w:eastAsia="zh-Hans"/>
              </w:rPr>
              <w:t>韩国电力</w:t>
            </w:r>
          </w:p>
        </w:tc>
        <w:tc>
          <w:tcPr>
            <w:tcW w:w="5153" w:type="dxa"/>
          </w:tcPr>
          <w:p w14:paraId="38D09CB1" w14:textId="0CD4DCAA" w:rsidR="00446B02" w:rsidRDefault="0000000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韩国电力</w:t>
            </w:r>
            <w:r>
              <w:rPr>
                <w:rFonts w:ascii="Times New Roman" w:hAnsi="Times New Roman" w:hint="eastAsia"/>
                <w:sz w:val="24"/>
                <w:szCs w:val="24"/>
              </w:rPr>
              <w:t>1981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12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31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日于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韩国</w:t>
            </w:r>
            <w:r>
              <w:rPr>
                <w:rFonts w:ascii="Times New Roman" w:hAnsi="Times New Roman" w:hint="eastAsia"/>
                <w:sz w:val="24"/>
                <w:szCs w:val="24"/>
              </w:rPr>
              <w:t>注册成立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其主要业务活动为发电、输电和配电，以及核电、风电和煤炭等的电力项目</w:t>
            </w: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的开发。</w:t>
            </w:r>
            <w:r w:rsidR="000701FE" w:rsidRP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韩国</w:t>
            </w:r>
            <w:r w:rsid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电力在韩国</w:t>
            </w:r>
            <w:r w:rsidR="000701FE" w:rsidRP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证券交易所</w:t>
            </w:r>
            <w:r w:rsid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和</w:t>
            </w:r>
            <w:r w:rsidR="000701FE" w:rsidRP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纽约证券交易所</w:t>
            </w:r>
            <w:r w:rsidR="000701FE"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上市。</w:t>
            </w:r>
          </w:p>
          <w:p w14:paraId="36180AA4" w14:textId="77777777" w:rsidR="00446B02" w:rsidRDefault="00446B02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 w14:paraId="535D1556" w14:textId="77777777" w:rsidR="00446B02" w:rsidRDefault="00000000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韩国电力无最终控制人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446B02" w14:paraId="57046834" w14:textId="77777777">
        <w:trPr>
          <w:trHeight w:val="279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1DD75440" w14:textId="77777777" w:rsidR="00446B02" w:rsidRDefault="00000000">
            <w:pPr>
              <w:snapToGrid w:val="0"/>
              <w:spacing w:afterLines="50" w:after="156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 w14:paraId="68C7E0B5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446B02" w14:paraId="6AAAD31B" w14:textId="77777777">
        <w:trPr>
          <w:trHeight w:val="330"/>
        </w:trPr>
        <w:tc>
          <w:tcPr>
            <w:tcW w:w="1555" w:type="dxa"/>
            <w:vMerge/>
            <w:shd w:val="clear" w:color="auto" w:fill="D9D9D9"/>
            <w:vAlign w:val="center"/>
          </w:tcPr>
          <w:p w14:paraId="5F1E74AC" w14:textId="77777777" w:rsidR="00446B02" w:rsidRDefault="00446B02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14:paraId="2E6EC5E6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446B02" w14:paraId="20D1A636" w14:textId="77777777">
        <w:trPr>
          <w:trHeight w:val="285"/>
        </w:trPr>
        <w:tc>
          <w:tcPr>
            <w:tcW w:w="1555" w:type="dxa"/>
            <w:vMerge/>
            <w:shd w:val="clear" w:color="auto" w:fill="D9D9D9"/>
            <w:vAlign w:val="center"/>
          </w:tcPr>
          <w:p w14:paraId="3671A8BF" w14:textId="77777777" w:rsidR="00446B02" w:rsidRDefault="00446B02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14:paraId="41637D7B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446B02" w14:paraId="74651499" w14:textId="77777777">
        <w:trPr>
          <w:trHeight w:val="607"/>
        </w:trPr>
        <w:tc>
          <w:tcPr>
            <w:tcW w:w="1555" w:type="dxa"/>
            <w:vMerge/>
            <w:shd w:val="clear" w:color="auto" w:fill="D9D9D9"/>
            <w:vAlign w:val="center"/>
          </w:tcPr>
          <w:p w14:paraId="25E226E2" w14:textId="77777777" w:rsidR="00446B02" w:rsidRDefault="00446B02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14:paraId="6FFA6798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446B02" w14:paraId="183430C6" w14:textId="77777777">
        <w:trPr>
          <w:trHeight w:val="264"/>
        </w:trPr>
        <w:tc>
          <w:tcPr>
            <w:tcW w:w="1555" w:type="dxa"/>
            <w:vMerge/>
            <w:shd w:val="clear" w:color="auto" w:fill="D9D9D9"/>
            <w:vAlign w:val="center"/>
          </w:tcPr>
          <w:p w14:paraId="64D41E73" w14:textId="77777777" w:rsidR="00446B02" w:rsidRDefault="00446B02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14:paraId="38A11F22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446B02" w14:paraId="798D1197" w14:textId="77777777">
        <w:trPr>
          <w:trHeight w:val="345"/>
        </w:trPr>
        <w:tc>
          <w:tcPr>
            <w:tcW w:w="1555" w:type="dxa"/>
            <w:vMerge/>
            <w:shd w:val="clear" w:color="auto" w:fill="D9D9D9"/>
            <w:vAlign w:val="center"/>
          </w:tcPr>
          <w:p w14:paraId="253FD21B" w14:textId="77777777" w:rsidR="00446B02" w:rsidRDefault="00446B02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14:paraId="1C6C15CD" w14:textId="77777777" w:rsidR="00446B02" w:rsidRDefault="0000000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6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446B02" w14:paraId="44D0C0EB" w14:textId="77777777">
        <w:tc>
          <w:tcPr>
            <w:tcW w:w="1555" w:type="dxa"/>
            <w:shd w:val="clear" w:color="auto" w:fill="D9D9D9"/>
            <w:vAlign w:val="center"/>
          </w:tcPr>
          <w:p w14:paraId="33E8CFEF" w14:textId="77777777" w:rsidR="00446B02" w:rsidRDefault="00000000">
            <w:pPr>
              <w:snapToGrid w:val="0"/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</w:tcPr>
          <w:p w14:paraId="057DC3E4" w14:textId="77777777" w:rsidR="00446B02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Hans"/>
              </w:rPr>
              <w:t>不适用</w:t>
            </w:r>
          </w:p>
        </w:tc>
      </w:tr>
    </w:tbl>
    <w:p w14:paraId="1785CEF7" w14:textId="77777777" w:rsidR="00446B02" w:rsidRDefault="00446B02">
      <w:pPr>
        <w:spacing w:line="20" w:lineRule="exact"/>
        <w:rPr>
          <w:rFonts w:ascii="Times New Roman" w:hAnsi="Times New Roman"/>
          <w:sz w:val="24"/>
          <w:szCs w:val="24"/>
        </w:rPr>
      </w:pPr>
    </w:p>
    <w:p w14:paraId="03619A2C" w14:textId="77777777" w:rsidR="00446B02" w:rsidRDefault="00446B02">
      <w:pPr>
        <w:spacing w:line="20" w:lineRule="exact"/>
        <w:rPr>
          <w:rFonts w:ascii="Times New Roman" w:hAnsi="Times New Roman"/>
          <w:sz w:val="24"/>
          <w:szCs w:val="24"/>
        </w:rPr>
      </w:pPr>
    </w:p>
    <w:sectPr w:rsidR="00446B02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77B44" w14:textId="77777777" w:rsidR="00CD3896" w:rsidRDefault="00CD3896">
      <w:r>
        <w:separator/>
      </w:r>
    </w:p>
  </w:endnote>
  <w:endnote w:type="continuationSeparator" w:id="0">
    <w:p w14:paraId="01AAFC48" w14:textId="77777777" w:rsidR="00CD3896" w:rsidRDefault="00CD3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036383314"/>
    </w:sdtPr>
    <w:sdtContent>
      <w:p w14:paraId="261E56A4" w14:textId="0B4F99C4" w:rsidR="00446B02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610D84"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74EE9C94" w14:textId="77777777" w:rsidR="00446B02" w:rsidRDefault="00446B0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  <w:rFonts w:ascii="Times New Roman" w:hAnsi="Times New Roman"/>
      </w:rPr>
      <w:id w:val="-275023100"/>
    </w:sdtPr>
    <w:sdtContent>
      <w:p w14:paraId="0B263C8A" w14:textId="77777777" w:rsidR="00446B02" w:rsidRDefault="00000000">
        <w:pPr>
          <w:pStyle w:val="a7"/>
          <w:framePr w:wrap="auto" w:vAnchor="text" w:hAnchor="margin" w:xAlign="center" w:yAlign="inside"/>
          <w:rPr>
            <w:rStyle w:val="ae"/>
            <w:rFonts w:ascii="Times New Roman" w:hAnsi="Times New Roman"/>
          </w:rPr>
        </w:pPr>
        <w:r>
          <w:rPr>
            <w:rStyle w:val="ae"/>
            <w:rFonts w:ascii="Times New Roman" w:hAnsi="Times New Roman"/>
          </w:rPr>
          <w:fldChar w:fldCharType="begin"/>
        </w:r>
        <w:r>
          <w:rPr>
            <w:rStyle w:val="ae"/>
            <w:rFonts w:ascii="Times New Roman" w:hAnsi="Times New Roman"/>
          </w:rPr>
          <w:instrText xml:space="preserve"> PAGE </w:instrText>
        </w:r>
        <w:r>
          <w:rPr>
            <w:rStyle w:val="ae"/>
            <w:rFonts w:ascii="Times New Roman" w:hAnsi="Times New Roman"/>
          </w:rPr>
          <w:fldChar w:fldCharType="separate"/>
        </w:r>
        <w:r>
          <w:rPr>
            <w:rStyle w:val="ae"/>
            <w:rFonts w:ascii="Times New Roman" w:hAnsi="Times New Roman"/>
          </w:rPr>
          <w:t>2</w:t>
        </w:r>
        <w:r>
          <w:rPr>
            <w:rStyle w:val="ae"/>
            <w:rFonts w:ascii="Times New Roman" w:hAnsi="Times New Roman"/>
          </w:rPr>
          <w:fldChar w:fldCharType="end"/>
        </w:r>
      </w:p>
    </w:sdtContent>
  </w:sdt>
  <w:p w14:paraId="54ED248B" w14:textId="77777777" w:rsidR="00446B02" w:rsidRDefault="00446B02">
    <w:pPr>
      <w:pStyle w:val="a7"/>
      <w:rPr>
        <w:rFonts w:ascii="Times New Roman" w:hAnsi="Times New Roman"/>
      </w:rPr>
    </w:pPr>
  </w:p>
  <w:p w14:paraId="289FC67F" w14:textId="77777777" w:rsidR="00446B02" w:rsidRDefault="00446B0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1CE35" w14:textId="77777777" w:rsidR="00CD3896" w:rsidRDefault="00CD3896">
      <w:r>
        <w:separator/>
      </w:r>
    </w:p>
  </w:footnote>
  <w:footnote w:type="continuationSeparator" w:id="0">
    <w:p w14:paraId="08980D9F" w14:textId="77777777" w:rsidR="00CD3896" w:rsidRDefault="00CD3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37311"/>
    <w:multiLevelType w:val="multilevel"/>
    <w:tmpl w:val="2D6373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6220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NzI2NTc1NjAxNDRS0lEKTi0uzszPAykwrAUAT46O3CwAAAA="/>
  </w:docVars>
  <w:rsids>
    <w:rsidRoot w:val="00CB00DF"/>
    <w:rsid w:val="AFF78FB0"/>
    <w:rsid w:val="DFFAB0C3"/>
    <w:rsid w:val="EDCB2A81"/>
    <w:rsid w:val="EEDF9567"/>
    <w:rsid w:val="F6FD8832"/>
    <w:rsid w:val="000008A2"/>
    <w:rsid w:val="000108C5"/>
    <w:rsid w:val="00015F7E"/>
    <w:rsid w:val="00023448"/>
    <w:rsid w:val="00037065"/>
    <w:rsid w:val="00040B9C"/>
    <w:rsid w:val="00044820"/>
    <w:rsid w:val="000510C8"/>
    <w:rsid w:val="00056576"/>
    <w:rsid w:val="000701FE"/>
    <w:rsid w:val="00075432"/>
    <w:rsid w:val="000805A7"/>
    <w:rsid w:val="0008285B"/>
    <w:rsid w:val="0008289D"/>
    <w:rsid w:val="000A1753"/>
    <w:rsid w:val="000B0953"/>
    <w:rsid w:val="000B1EFE"/>
    <w:rsid w:val="000B395A"/>
    <w:rsid w:val="000B6915"/>
    <w:rsid w:val="000B739E"/>
    <w:rsid w:val="000D4BD1"/>
    <w:rsid w:val="000D7EBA"/>
    <w:rsid w:val="000F21BC"/>
    <w:rsid w:val="000F5A36"/>
    <w:rsid w:val="001074DB"/>
    <w:rsid w:val="001164CD"/>
    <w:rsid w:val="00116F01"/>
    <w:rsid w:val="001314CA"/>
    <w:rsid w:val="00141AA1"/>
    <w:rsid w:val="00155717"/>
    <w:rsid w:val="00156F76"/>
    <w:rsid w:val="00171078"/>
    <w:rsid w:val="00181413"/>
    <w:rsid w:val="00182C7B"/>
    <w:rsid w:val="001837A3"/>
    <w:rsid w:val="00183F13"/>
    <w:rsid w:val="00187D5C"/>
    <w:rsid w:val="00193278"/>
    <w:rsid w:val="00193BC9"/>
    <w:rsid w:val="001942A2"/>
    <w:rsid w:val="00196D5E"/>
    <w:rsid w:val="00196EF4"/>
    <w:rsid w:val="001A220F"/>
    <w:rsid w:val="001A4FCF"/>
    <w:rsid w:val="001C2465"/>
    <w:rsid w:val="001C59B2"/>
    <w:rsid w:val="001D6662"/>
    <w:rsid w:val="001E7167"/>
    <w:rsid w:val="001F1F55"/>
    <w:rsid w:val="0021315C"/>
    <w:rsid w:val="0023101A"/>
    <w:rsid w:val="0023690F"/>
    <w:rsid w:val="00245E8F"/>
    <w:rsid w:val="002500FA"/>
    <w:rsid w:val="00261C58"/>
    <w:rsid w:val="00262C69"/>
    <w:rsid w:val="00262E0F"/>
    <w:rsid w:val="00265448"/>
    <w:rsid w:val="002665EA"/>
    <w:rsid w:val="00271F00"/>
    <w:rsid w:val="00273D92"/>
    <w:rsid w:val="002756C0"/>
    <w:rsid w:val="002840F8"/>
    <w:rsid w:val="0028527F"/>
    <w:rsid w:val="00287F20"/>
    <w:rsid w:val="00291EF1"/>
    <w:rsid w:val="002B19C8"/>
    <w:rsid w:val="002D0F1A"/>
    <w:rsid w:val="00306520"/>
    <w:rsid w:val="00310D7A"/>
    <w:rsid w:val="003158E3"/>
    <w:rsid w:val="00321E57"/>
    <w:rsid w:val="00330E53"/>
    <w:rsid w:val="00337202"/>
    <w:rsid w:val="00345820"/>
    <w:rsid w:val="00360D2E"/>
    <w:rsid w:val="00361144"/>
    <w:rsid w:val="00364ED5"/>
    <w:rsid w:val="00376EF3"/>
    <w:rsid w:val="003928E3"/>
    <w:rsid w:val="003A0865"/>
    <w:rsid w:val="003C0AEB"/>
    <w:rsid w:val="003C575D"/>
    <w:rsid w:val="003D13C3"/>
    <w:rsid w:val="003D33C2"/>
    <w:rsid w:val="003D7240"/>
    <w:rsid w:val="003E7483"/>
    <w:rsid w:val="003F0F68"/>
    <w:rsid w:val="00403238"/>
    <w:rsid w:val="004063A2"/>
    <w:rsid w:val="00407467"/>
    <w:rsid w:val="00410232"/>
    <w:rsid w:val="00421390"/>
    <w:rsid w:val="004272CC"/>
    <w:rsid w:val="004402CC"/>
    <w:rsid w:val="00446B02"/>
    <w:rsid w:val="00447FB4"/>
    <w:rsid w:val="00460715"/>
    <w:rsid w:val="004711C5"/>
    <w:rsid w:val="00476CB5"/>
    <w:rsid w:val="004958E7"/>
    <w:rsid w:val="004A7AB3"/>
    <w:rsid w:val="004B27C8"/>
    <w:rsid w:val="004B6BEC"/>
    <w:rsid w:val="004C2A4E"/>
    <w:rsid w:val="004C73C2"/>
    <w:rsid w:val="004D5D16"/>
    <w:rsid w:val="004E4D5A"/>
    <w:rsid w:val="004F0B1D"/>
    <w:rsid w:val="004F173B"/>
    <w:rsid w:val="004F7688"/>
    <w:rsid w:val="00501C72"/>
    <w:rsid w:val="005021B7"/>
    <w:rsid w:val="00507846"/>
    <w:rsid w:val="00526688"/>
    <w:rsid w:val="00527F83"/>
    <w:rsid w:val="00546F6E"/>
    <w:rsid w:val="00555877"/>
    <w:rsid w:val="00565D2C"/>
    <w:rsid w:val="00574E95"/>
    <w:rsid w:val="00590F14"/>
    <w:rsid w:val="005A0430"/>
    <w:rsid w:val="005A5BEE"/>
    <w:rsid w:val="005B3D19"/>
    <w:rsid w:val="005C19BE"/>
    <w:rsid w:val="005C480C"/>
    <w:rsid w:val="005C61CD"/>
    <w:rsid w:val="005C6BB8"/>
    <w:rsid w:val="005C6FB4"/>
    <w:rsid w:val="005E03E0"/>
    <w:rsid w:val="005E6675"/>
    <w:rsid w:val="005F3D2C"/>
    <w:rsid w:val="006064BD"/>
    <w:rsid w:val="00610D84"/>
    <w:rsid w:val="00613926"/>
    <w:rsid w:val="00624B78"/>
    <w:rsid w:val="00630E72"/>
    <w:rsid w:val="006344D5"/>
    <w:rsid w:val="00643117"/>
    <w:rsid w:val="006451FC"/>
    <w:rsid w:val="006467D8"/>
    <w:rsid w:val="00652DFD"/>
    <w:rsid w:val="00653FFE"/>
    <w:rsid w:val="00655A3B"/>
    <w:rsid w:val="006613CF"/>
    <w:rsid w:val="00661A6A"/>
    <w:rsid w:val="00662E72"/>
    <w:rsid w:val="00664EE8"/>
    <w:rsid w:val="0067606A"/>
    <w:rsid w:val="00677C08"/>
    <w:rsid w:val="006818E9"/>
    <w:rsid w:val="00692C24"/>
    <w:rsid w:val="00697659"/>
    <w:rsid w:val="006A531B"/>
    <w:rsid w:val="006C2BD4"/>
    <w:rsid w:val="006C455E"/>
    <w:rsid w:val="006D0C1D"/>
    <w:rsid w:val="006E0315"/>
    <w:rsid w:val="006E090A"/>
    <w:rsid w:val="006E7350"/>
    <w:rsid w:val="006F3F56"/>
    <w:rsid w:val="006F7693"/>
    <w:rsid w:val="00710140"/>
    <w:rsid w:val="007142AB"/>
    <w:rsid w:val="00716850"/>
    <w:rsid w:val="007223CC"/>
    <w:rsid w:val="0072606E"/>
    <w:rsid w:val="0073391A"/>
    <w:rsid w:val="00750E69"/>
    <w:rsid w:val="00760B82"/>
    <w:rsid w:val="00770406"/>
    <w:rsid w:val="0079392B"/>
    <w:rsid w:val="007979C0"/>
    <w:rsid w:val="007A3034"/>
    <w:rsid w:val="007A505D"/>
    <w:rsid w:val="007A5134"/>
    <w:rsid w:val="007A72C1"/>
    <w:rsid w:val="007B0601"/>
    <w:rsid w:val="007B1376"/>
    <w:rsid w:val="007C1F1C"/>
    <w:rsid w:val="007C318E"/>
    <w:rsid w:val="007C3E2F"/>
    <w:rsid w:val="007E3AA2"/>
    <w:rsid w:val="007F2275"/>
    <w:rsid w:val="008225F1"/>
    <w:rsid w:val="008238E1"/>
    <w:rsid w:val="00826D44"/>
    <w:rsid w:val="00851383"/>
    <w:rsid w:val="00852E5C"/>
    <w:rsid w:val="008549DE"/>
    <w:rsid w:val="00863DD9"/>
    <w:rsid w:val="00867F3F"/>
    <w:rsid w:val="00875D3B"/>
    <w:rsid w:val="008811CF"/>
    <w:rsid w:val="008A6CC2"/>
    <w:rsid w:val="008E1316"/>
    <w:rsid w:val="00900674"/>
    <w:rsid w:val="00914C14"/>
    <w:rsid w:val="0091562C"/>
    <w:rsid w:val="00915F0F"/>
    <w:rsid w:val="00922C2D"/>
    <w:rsid w:val="0092566D"/>
    <w:rsid w:val="00925A08"/>
    <w:rsid w:val="00940FA2"/>
    <w:rsid w:val="009532DF"/>
    <w:rsid w:val="00962518"/>
    <w:rsid w:val="00964B66"/>
    <w:rsid w:val="00970CDF"/>
    <w:rsid w:val="0097361C"/>
    <w:rsid w:val="00997019"/>
    <w:rsid w:val="009974D6"/>
    <w:rsid w:val="009A353B"/>
    <w:rsid w:val="009A5029"/>
    <w:rsid w:val="009A72B6"/>
    <w:rsid w:val="009B2582"/>
    <w:rsid w:val="009C5C69"/>
    <w:rsid w:val="009D2953"/>
    <w:rsid w:val="009D38D5"/>
    <w:rsid w:val="009F001B"/>
    <w:rsid w:val="00A00428"/>
    <w:rsid w:val="00A01E75"/>
    <w:rsid w:val="00A1214D"/>
    <w:rsid w:val="00A209CF"/>
    <w:rsid w:val="00A3629B"/>
    <w:rsid w:val="00A45197"/>
    <w:rsid w:val="00A45A34"/>
    <w:rsid w:val="00A53F26"/>
    <w:rsid w:val="00A55ABD"/>
    <w:rsid w:val="00A62FD3"/>
    <w:rsid w:val="00A6650B"/>
    <w:rsid w:val="00A75D1E"/>
    <w:rsid w:val="00A859F5"/>
    <w:rsid w:val="00A97CD6"/>
    <w:rsid w:val="00AA0CC5"/>
    <w:rsid w:val="00AB4679"/>
    <w:rsid w:val="00AB63AD"/>
    <w:rsid w:val="00AD1134"/>
    <w:rsid w:val="00AD4346"/>
    <w:rsid w:val="00AE7500"/>
    <w:rsid w:val="00AF347F"/>
    <w:rsid w:val="00AF73B9"/>
    <w:rsid w:val="00B05F2C"/>
    <w:rsid w:val="00B0718F"/>
    <w:rsid w:val="00B11044"/>
    <w:rsid w:val="00B16AB0"/>
    <w:rsid w:val="00B16AFE"/>
    <w:rsid w:val="00B21372"/>
    <w:rsid w:val="00B33424"/>
    <w:rsid w:val="00B42D28"/>
    <w:rsid w:val="00B56D8B"/>
    <w:rsid w:val="00B65DD5"/>
    <w:rsid w:val="00B67AC3"/>
    <w:rsid w:val="00B80621"/>
    <w:rsid w:val="00BA463C"/>
    <w:rsid w:val="00BA4781"/>
    <w:rsid w:val="00BC2B8C"/>
    <w:rsid w:val="00BD10B6"/>
    <w:rsid w:val="00BD2F14"/>
    <w:rsid w:val="00BF0375"/>
    <w:rsid w:val="00C02B30"/>
    <w:rsid w:val="00C07076"/>
    <w:rsid w:val="00C22854"/>
    <w:rsid w:val="00C3103A"/>
    <w:rsid w:val="00C34349"/>
    <w:rsid w:val="00C351AF"/>
    <w:rsid w:val="00C37318"/>
    <w:rsid w:val="00C520E3"/>
    <w:rsid w:val="00C6435F"/>
    <w:rsid w:val="00C7145B"/>
    <w:rsid w:val="00C73BEA"/>
    <w:rsid w:val="00C84AC2"/>
    <w:rsid w:val="00C8621B"/>
    <w:rsid w:val="00C902F2"/>
    <w:rsid w:val="00CA3050"/>
    <w:rsid w:val="00CA6004"/>
    <w:rsid w:val="00CB00DF"/>
    <w:rsid w:val="00CB4546"/>
    <w:rsid w:val="00CB562C"/>
    <w:rsid w:val="00CC217B"/>
    <w:rsid w:val="00CD267A"/>
    <w:rsid w:val="00CD3896"/>
    <w:rsid w:val="00CE36D4"/>
    <w:rsid w:val="00CF026D"/>
    <w:rsid w:val="00CF265C"/>
    <w:rsid w:val="00CF7C48"/>
    <w:rsid w:val="00D04004"/>
    <w:rsid w:val="00D376B1"/>
    <w:rsid w:val="00D62E77"/>
    <w:rsid w:val="00D73C72"/>
    <w:rsid w:val="00D8580E"/>
    <w:rsid w:val="00D90D2F"/>
    <w:rsid w:val="00D9753A"/>
    <w:rsid w:val="00DB5728"/>
    <w:rsid w:val="00DE62BE"/>
    <w:rsid w:val="00E0592B"/>
    <w:rsid w:val="00E067F8"/>
    <w:rsid w:val="00E152D6"/>
    <w:rsid w:val="00E165FA"/>
    <w:rsid w:val="00E31738"/>
    <w:rsid w:val="00E4031B"/>
    <w:rsid w:val="00E53A88"/>
    <w:rsid w:val="00E550B3"/>
    <w:rsid w:val="00E61221"/>
    <w:rsid w:val="00E86786"/>
    <w:rsid w:val="00E91FC9"/>
    <w:rsid w:val="00E9767B"/>
    <w:rsid w:val="00EA11D5"/>
    <w:rsid w:val="00ED18BB"/>
    <w:rsid w:val="00ED2F80"/>
    <w:rsid w:val="00ED6CCB"/>
    <w:rsid w:val="00ED775E"/>
    <w:rsid w:val="00EE2D3F"/>
    <w:rsid w:val="00EE396D"/>
    <w:rsid w:val="00F1624E"/>
    <w:rsid w:val="00F249F6"/>
    <w:rsid w:val="00F32631"/>
    <w:rsid w:val="00F32F8A"/>
    <w:rsid w:val="00F35DE2"/>
    <w:rsid w:val="00F42972"/>
    <w:rsid w:val="00F42A51"/>
    <w:rsid w:val="00F810AA"/>
    <w:rsid w:val="00F87342"/>
    <w:rsid w:val="00FA2609"/>
    <w:rsid w:val="00FA2AF4"/>
    <w:rsid w:val="00FB43EC"/>
    <w:rsid w:val="00FB449F"/>
    <w:rsid w:val="00FB6B40"/>
    <w:rsid w:val="00FF702D"/>
    <w:rsid w:val="5B7DDE27"/>
    <w:rsid w:val="7FD6A4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769FD"/>
  <w15:docId w15:val="{0744B4ED-AEA7-4779-A36F-120EB605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Hyperlink"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a">
    <w:name w:val="页眉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Times New Roman" w:eastAsiaTheme="minorEastAsia" w:hAnsi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  <w:sz w:val="20"/>
      <w:szCs w:val="20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styleId="af2">
    <w:name w:val="Revision"/>
    <w:hidden/>
    <w:uiPriority w:val="99"/>
    <w:semiHidden/>
    <w:rsid w:val="00610D84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wushan</dc:creator>
  <cp:lastModifiedBy>Ying</cp:lastModifiedBy>
  <cp:revision>3</cp:revision>
  <dcterms:created xsi:type="dcterms:W3CDTF">2022-11-29T07:51:00Z</dcterms:created>
  <dcterms:modified xsi:type="dcterms:W3CDTF">2022-11-29T07:51:00Z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E7979FB6E4AFB80427AC8563DF50CA13</vt:lpwstr>
  </property>
</Properties>
</file>