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96CE2" w14:textId="77777777" w:rsidR="00962346" w:rsidRDefault="0029749F">
      <w:pPr>
        <w:spacing w:line="440" w:lineRule="exact"/>
        <w:jc w:val="center"/>
        <w:rPr>
          <w:rFonts w:ascii="楷体" w:eastAsia="楷体" w:hAnsi="楷体"/>
          <w:b/>
          <w:bCs/>
          <w:sz w:val="32"/>
          <w:szCs w:val="32"/>
        </w:rPr>
      </w:pPr>
      <w:r>
        <w:rPr>
          <w:rFonts w:ascii="楷体" w:eastAsia="楷体" w:hAnsi="楷体" w:hint="eastAsia"/>
          <w:b/>
          <w:bCs/>
          <w:sz w:val="32"/>
          <w:szCs w:val="32"/>
        </w:rPr>
        <w:t>经营者集中简易案件公示表</w:t>
      </w:r>
    </w:p>
    <w:p w14:paraId="3CF318A8" w14:textId="77777777" w:rsidR="00962346" w:rsidRDefault="00962346">
      <w:pPr>
        <w:spacing w:line="440" w:lineRule="exact"/>
        <w:jc w:val="center"/>
        <w:rPr>
          <w:rFonts w:ascii="楷体" w:eastAsia="楷体" w:hAnsi="楷体"/>
          <w:sz w:val="24"/>
          <w:szCs w:val="24"/>
        </w:rPr>
      </w:pP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4"/>
        <w:gridCol w:w="1918"/>
        <w:gridCol w:w="4663"/>
      </w:tblGrid>
      <w:tr w:rsidR="00962346" w14:paraId="6F7B348D" w14:textId="77777777">
        <w:tc>
          <w:tcPr>
            <w:tcW w:w="1694" w:type="dxa"/>
            <w:shd w:val="clear" w:color="auto" w:fill="D9D9D9"/>
            <w:vAlign w:val="center"/>
          </w:tcPr>
          <w:p w14:paraId="5505B6ED" w14:textId="77777777" w:rsidR="00962346" w:rsidRDefault="0029749F">
            <w:pPr>
              <w:spacing w:line="500" w:lineRule="exact"/>
              <w:jc w:val="center"/>
              <w:rPr>
                <w:rFonts w:ascii="楷体" w:eastAsia="楷体" w:hAnsi="楷体" w:cs="宋体"/>
                <w:color w:val="333333"/>
                <w:kern w:val="0"/>
                <w:sz w:val="24"/>
                <w:szCs w:val="24"/>
              </w:rPr>
            </w:pPr>
            <w:r>
              <w:rPr>
                <w:rFonts w:ascii="楷体" w:eastAsia="楷体" w:hAnsi="楷体" w:cs="宋体" w:hint="eastAsia"/>
                <w:color w:val="333333"/>
                <w:kern w:val="0"/>
                <w:sz w:val="24"/>
                <w:szCs w:val="24"/>
              </w:rPr>
              <w:t>案件名称</w:t>
            </w:r>
          </w:p>
        </w:tc>
        <w:tc>
          <w:tcPr>
            <w:tcW w:w="6581" w:type="dxa"/>
            <w:gridSpan w:val="2"/>
          </w:tcPr>
          <w:p w14:paraId="57479064" w14:textId="77777777" w:rsidR="00962346" w:rsidRDefault="0029749F">
            <w:pPr>
              <w:spacing w:line="500" w:lineRule="exact"/>
              <w:rPr>
                <w:rFonts w:ascii="楷体" w:eastAsia="楷体" w:hAnsi="楷体" w:cs="宋体"/>
                <w:color w:val="333333"/>
                <w:kern w:val="0"/>
                <w:sz w:val="24"/>
                <w:szCs w:val="24"/>
              </w:rPr>
            </w:pPr>
            <w:r>
              <w:rPr>
                <w:rFonts w:ascii="楷体" w:eastAsia="楷体" w:hAnsi="楷体" w:hint="eastAsia"/>
                <w:kern w:val="0"/>
                <w:sz w:val="24"/>
                <w:szCs w:val="24"/>
              </w:rPr>
              <w:t>深圳南国能源有限公司与重庆国调企业管理有限公司等经营者收购重庆市能源投资集团有限公司股权案</w:t>
            </w:r>
            <w:r>
              <w:rPr>
                <w:rFonts w:ascii="楷体" w:eastAsia="楷体" w:hAnsi="楷体" w:cs="宋体" w:hint="eastAsia"/>
                <w:color w:val="333333"/>
                <w:kern w:val="0"/>
                <w:sz w:val="24"/>
                <w:szCs w:val="24"/>
              </w:rPr>
              <w:t>（“</w:t>
            </w:r>
            <w:r>
              <w:rPr>
                <w:rFonts w:ascii="楷体" w:eastAsia="楷体" w:hAnsi="楷体" w:cs="宋体" w:hint="eastAsia"/>
                <w:b/>
                <w:bCs/>
                <w:color w:val="333333"/>
                <w:kern w:val="0"/>
                <w:sz w:val="24"/>
                <w:szCs w:val="24"/>
              </w:rPr>
              <w:t>拟议交易</w:t>
            </w:r>
            <w:r>
              <w:rPr>
                <w:rFonts w:ascii="楷体" w:eastAsia="楷体" w:hAnsi="楷体" w:cs="宋体" w:hint="eastAsia"/>
                <w:color w:val="333333"/>
                <w:kern w:val="0"/>
                <w:sz w:val="24"/>
                <w:szCs w:val="24"/>
              </w:rPr>
              <w:t>”）</w:t>
            </w:r>
          </w:p>
        </w:tc>
      </w:tr>
      <w:tr w:rsidR="00962346" w14:paraId="31EAAD42" w14:textId="77777777">
        <w:trPr>
          <w:trHeight w:val="993"/>
        </w:trPr>
        <w:tc>
          <w:tcPr>
            <w:tcW w:w="1694" w:type="dxa"/>
            <w:shd w:val="clear" w:color="auto" w:fill="D9D9D9"/>
            <w:vAlign w:val="center"/>
          </w:tcPr>
          <w:p w14:paraId="649BF876" w14:textId="77777777" w:rsidR="00962346" w:rsidRDefault="0029749F">
            <w:pPr>
              <w:spacing w:line="500" w:lineRule="exact"/>
              <w:jc w:val="center"/>
              <w:rPr>
                <w:rFonts w:ascii="楷体" w:eastAsia="楷体" w:hAnsi="楷体" w:cs="宋体"/>
                <w:color w:val="333333"/>
                <w:kern w:val="0"/>
                <w:sz w:val="24"/>
                <w:szCs w:val="24"/>
              </w:rPr>
            </w:pPr>
            <w:r>
              <w:rPr>
                <w:rFonts w:ascii="楷体" w:eastAsia="楷体" w:hAnsi="楷体" w:cs="宋体" w:hint="eastAsia"/>
                <w:color w:val="333333"/>
                <w:kern w:val="0"/>
                <w:sz w:val="24"/>
                <w:szCs w:val="24"/>
              </w:rPr>
              <w:t>交易概况</w:t>
            </w:r>
          </w:p>
          <w:p w14:paraId="4E97AECB" w14:textId="77777777" w:rsidR="00962346" w:rsidRDefault="0029749F">
            <w:pPr>
              <w:spacing w:line="500" w:lineRule="exact"/>
              <w:jc w:val="center"/>
              <w:rPr>
                <w:rFonts w:ascii="楷体" w:eastAsia="楷体" w:hAnsi="楷体" w:cs="宋体"/>
                <w:color w:val="333333"/>
                <w:kern w:val="0"/>
                <w:sz w:val="24"/>
                <w:szCs w:val="24"/>
              </w:rPr>
            </w:pPr>
            <w:r>
              <w:rPr>
                <w:rFonts w:ascii="楷体" w:eastAsia="楷体" w:hAnsi="楷体" w:cs="宋体" w:hint="eastAsia"/>
                <w:color w:val="333333"/>
                <w:kern w:val="0"/>
                <w:sz w:val="24"/>
                <w:szCs w:val="24"/>
              </w:rPr>
              <w:t>（限200字内）</w:t>
            </w:r>
          </w:p>
        </w:tc>
        <w:tc>
          <w:tcPr>
            <w:tcW w:w="6581" w:type="dxa"/>
            <w:gridSpan w:val="2"/>
          </w:tcPr>
          <w:p w14:paraId="2C19791D" w14:textId="77777777" w:rsidR="00962346" w:rsidRDefault="0029749F">
            <w:pPr>
              <w:spacing w:line="500" w:lineRule="exact"/>
              <w:rPr>
                <w:rFonts w:ascii="楷体" w:eastAsia="楷体" w:hAnsi="楷体" w:cs="宋体"/>
                <w:color w:val="333333"/>
                <w:kern w:val="0"/>
                <w:sz w:val="24"/>
                <w:szCs w:val="24"/>
              </w:rPr>
            </w:pPr>
            <w:r>
              <w:rPr>
                <w:rFonts w:ascii="楷体" w:eastAsia="楷体" w:hAnsi="楷体" w:cs="宋体" w:hint="eastAsia"/>
                <w:color w:val="333333"/>
                <w:kern w:val="0"/>
                <w:sz w:val="24"/>
                <w:szCs w:val="24"/>
              </w:rPr>
              <w:t>2022年4月11日，重庆市能源投资集团有限公司等16家企业分别向重庆市第五中级人民法院申请破产重整，并同时提出预重整申请。该破产重整案涉及的资金、资产和人数规模庞大。</w:t>
            </w:r>
          </w:p>
          <w:p w14:paraId="68481F6E" w14:textId="77777777" w:rsidR="00962346" w:rsidRDefault="0029749F">
            <w:pPr>
              <w:spacing w:line="500" w:lineRule="exact"/>
              <w:rPr>
                <w:rFonts w:ascii="楷体" w:eastAsia="楷体" w:hAnsi="楷体" w:cs="宋体"/>
                <w:color w:val="333333"/>
                <w:kern w:val="0"/>
                <w:sz w:val="24"/>
                <w:szCs w:val="24"/>
              </w:rPr>
            </w:pPr>
            <w:r>
              <w:rPr>
                <w:rFonts w:ascii="楷体" w:eastAsia="楷体" w:hAnsi="楷体" w:cs="宋体" w:hint="eastAsia"/>
                <w:color w:val="333333"/>
                <w:kern w:val="0"/>
                <w:sz w:val="24"/>
                <w:szCs w:val="24"/>
              </w:rPr>
              <w:t>2022年11月4日，深圳南国能源有限公司和重庆国调企业管理有限公司等签署了交易协议。交易完成后，深圳南国能源有限公司和重庆国调企业管理有限公司将分别取得重庆市能源投资集团有限公司38.25%和12.75%股权，并共同控制重庆市能源投资集团有限公司。</w:t>
            </w:r>
          </w:p>
        </w:tc>
      </w:tr>
      <w:tr w:rsidR="00962346" w14:paraId="7925503F" w14:textId="77777777">
        <w:trPr>
          <w:trHeight w:val="468"/>
        </w:trPr>
        <w:tc>
          <w:tcPr>
            <w:tcW w:w="1694" w:type="dxa"/>
            <w:vMerge w:val="restart"/>
            <w:shd w:val="clear" w:color="auto" w:fill="D9D9D9"/>
            <w:vAlign w:val="center"/>
          </w:tcPr>
          <w:p w14:paraId="13057ED7" w14:textId="77777777" w:rsidR="00962346" w:rsidRDefault="0029749F">
            <w:pPr>
              <w:spacing w:line="500" w:lineRule="exact"/>
              <w:jc w:val="center"/>
              <w:rPr>
                <w:rFonts w:ascii="楷体" w:eastAsia="楷体" w:hAnsi="楷体" w:cs="宋体"/>
                <w:color w:val="333333"/>
                <w:kern w:val="0"/>
                <w:sz w:val="24"/>
                <w:szCs w:val="24"/>
              </w:rPr>
            </w:pPr>
            <w:r>
              <w:rPr>
                <w:rFonts w:ascii="楷体" w:eastAsia="楷体" w:hAnsi="楷体" w:cs="宋体" w:hint="eastAsia"/>
                <w:color w:val="333333"/>
                <w:kern w:val="0"/>
                <w:sz w:val="24"/>
                <w:szCs w:val="24"/>
              </w:rPr>
              <w:t>参与集中的</w:t>
            </w:r>
          </w:p>
          <w:p w14:paraId="54DFCAFB" w14:textId="77777777" w:rsidR="00962346" w:rsidRDefault="0029749F">
            <w:pPr>
              <w:spacing w:line="500" w:lineRule="exact"/>
              <w:jc w:val="center"/>
              <w:rPr>
                <w:rFonts w:ascii="楷体" w:eastAsia="楷体" w:hAnsi="楷体" w:cs="宋体"/>
                <w:color w:val="333333"/>
                <w:kern w:val="0"/>
                <w:sz w:val="24"/>
                <w:szCs w:val="24"/>
              </w:rPr>
            </w:pPr>
            <w:r>
              <w:rPr>
                <w:rFonts w:ascii="楷体" w:eastAsia="楷体" w:hAnsi="楷体" w:cs="宋体" w:hint="eastAsia"/>
                <w:color w:val="333333"/>
                <w:kern w:val="0"/>
                <w:sz w:val="24"/>
                <w:szCs w:val="24"/>
              </w:rPr>
              <w:t>经营者简介</w:t>
            </w:r>
          </w:p>
        </w:tc>
        <w:tc>
          <w:tcPr>
            <w:tcW w:w="1918" w:type="dxa"/>
          </w:tcPr>
          <w:p w14:paraId="287AE6F6" w14:textId="77777777" w:rsidR="00962346" w:rsidRDefault="0029749F">
            <w:pPr>
              <w:spacing w:line="500" w:lineRule="exact"/>
              <w:rPr>
                <w:rFonts w:ascii="楷体" w:eastAsia="楷体" w:hAnsi="楷体" w:cs="宋体"/>
                <w:color w:val="333333"/>
                <w:kern w:val="0"/>
                <w:sz w:val="24"/>
                <w:szCs w:val="24"/>
              </w:rPr>
            </w:pPr>
            <w:r>
              <w:rPr>
                <w:rFonts w:ascii="楷体" w:eastAsia="楷体" w:hAnsi="楷体" w:cs="宋体" w:hint="eastAsia"/>
                <w:color w:val="333333"/>
                <w:kern w:val="0"/>
                <w:sz w:val="24"/>
                <w:szCs w:val="24"/>
              </w:rPr>
              <w:t>1、深圳南国能源有限公司</w:t>
            </w:r>
          </w:p>
        </w:tc>
        <w:tc>
          <w:tcPr>
            <w:tcW w:w="4663" w:type="dxa"/>
          </w:tcPr>
          <w:p w14:paraId="0DFB34CD" w14:textId="77777777" w:rsidR="00962346" w:rsidRDefault="0029749F">
            <w:pPr>
              <w:spacing w:line="500" w:lineRule="exact"/>
              <w:rPr>
                <w:rFonts w:ascii="楷体" w:eastAsia="楷体" w:hAnsi="楷体" w:cs="宋体"/>
                <w:color w:val="333333"/>
                <w:kern w:val="0"/>
                <w:sz w:val="24"/>
                <w:szCs w:val="24"/>
              </w:rPr>
            </w:pPr>
            <w:r>
              <w:rPr>
                <w:rFonts w:ascii="楷体" w:eastAsia="楷体" w:hAnsi="楷体" w:cs="宋体" w:hint="eastAsia"/>
                <w:color w:val="333333"/>
                <w:kern w:val="0"/>
                <w:sz w:val="24"/>
                <w:szCs w:val="24"/>
              </w:rPr>
              <w:t>深圳南国能源有限公司于2007年9月30日，在深圳市罗湖区注册成立，主要业务为：可再生能源、清洁能源的技术开发及相关的技术咨询，投资兴办实业等。深圳南国能源有限公司的最终控制人为中国华润有限公司。</w:t>
            </w:r>
          </w:p>
        </w:tc>
      </w:tr>
      <w:tr w:rsidR="00962346" w14:paraId="7840F654" w14:textId="77777777">
        <w:trPr>
          <w:trHeight w:val="440"/>
        </w:trPr>
        <w:tc>
          <w:tcPr>
            <w:tcW w:w="1694" w:type="dxa"/>
            <w:vMerge/>
            <w:shd w:val="clear" w:color="auto" w:fill="D9D9D9"/>
            <w:vAlign w:val="center"/>
          </w:tcPr>
          <w:p w14:paraId="27846E6F" w14:textId="77777777" w:rsidR="00962346" w:rsidRDefault="00962346">
            <w:pPr>
              <w:spacing w:line="500" w:lineRule="exact"/>
              <w:jc w:val="center"/>
              <w:rPr>
                <w:rFonts w:ascii="楷体" w:eastAsia="楷体" w:hAnsi="楷体" w:cs="宋体"/>
                <w:color w:val="333333"/>
                <w:kern w:val="0"/>
                <w:sz w:val="24"/>
                <w:szCs w:val="24"/>
              </w:rPr>
            </w:pPr>
          </w:p>
        </w:tc>
        <w:tc>
          <w:tcPr>
            <w:tcW w:w="1918" w:type="dxa"/>
          </w:tcPr>
          <w:p w14:paraId="1E8D6162" w14:textId="77777777" w:rsidR="00962346" w:rsidRDefault="0029749F">
            <w:pPr>
              <w:spacing w:line="500" w:lineRule="exact"/>
              <w:rPr>
                <w:rFonts w:ascii="楷体" w:eastAsia="楷体" w:hAnsi="楷体" w:cs="宋体"/>
                <w:color w:val="333333"/>
                <w:kern w:val="0"/>
                <w:sz w:val="24"/>
                <w:szCs w:val="24"/>
              </w:rPr>
            </w:pPr>
            <w:r>
              <w:rPr>
                <w:rFonts w:ascii="楷体" w:eastAsia="楷体" w:hAnsi="楷体" w:cs="宋体" w:hint="eastAsia"/>
                <w:color w:val="333333"/>
                <w:kern w:val="0"/>
                <w:sz w:val="24"/>
                <w:szCs w:val="24"/>
              </w:rPr>
              <w:t>2、重庆国调企业管理有限公司</w:t>
            </w:r>
          </w:p>
        </w:tc>
        <w:tc>
          <w:tcPr>
            <w:tcW w:w="4663" w:type="dxa"/>
          </w:tcPr>
          <w:p w14:paraId="30DDA3E6" w14:textId="3F5D29DD" w:rsidR="00962346" w:rsidRDefault="0029749F">
            <w:pPr>
              <w:spacing w:line="500" w:lineRule="exact"/>
              <w:rPr>
                <w:rFonts w:ascii="楷体" w:eastAsia="楷体" w:hAnsi="楷体" w:cs="宋体"/>
                <w:color w:val="333333"/>
                <w:kern w:val="0"/>
                <w:sz w:val="24"/>
                <w:szCs w:val="24"/>
              </w:rPr>
            </w:pPr>
            <w:r>
              <w:rPr>
                <w:rFonts w:ascii="楷体" w:eastAsia="楷体" w:hAnsi="楷体" w:cs="宋体" w:hint="eastAsia"/>
                <w:color w:val="333333"/>
                <w:kern w:val="0"/>
                <w:sz w:val="24"/>
                <w:szCs w:val="24"/>
              </w:rPr>
              <w:t>重庆国调企业管理有限公司于2021年10月22日在重庆市渝中区注册成立，</w:t>
            </w:r>
            <w:r w:rsidRPr="00E625A8">
              <w:rPr>
                <w:rFonts w:ascii="楷体" w:eastAsia="楷体" w:hAnsi="楷体" w:cs="宋体" w:hint="eastAsia"/>
                <w:color w:val="333333"/>
                <w:kern w:val="0"/>
                <w:sz w:val="24"/>
                <w:szCs w:val="24"/>
              </w:rPr>
              <w:t>公司致力于配合国有企业提供阶段性“应急”和“增信”，通过市场化方式吸收整合国企资源，重点挖掘国企并购重整、混合所有制改革等过程中的投资机会公司立足和服务于国业</w:t>
            </w:r>
            <w:r>
              <w:rPr>
                <w:rFonts w:ascii="楷体" w:eastAsia="楷体" w:hAnsi="楷体" w:cs="宋体" w:hint="eastAsia"/>
                <w:color w:val="333333"/>
                <w:kern w:val="0"/>
                <w:sz w:val="24"/>
                <w:szCs w:val="24"/>
              </w:rPr>
              <w:t>。</w:t>
            </w:r>
            <w:r w:rsidR="00083094" w:rsidRPr="00083094">
              <w:rPr>
                <w:rFonts w:ascii="楷体" w:eastAsia="楷体" w:hAnsi="楷体" w:cs="宋体" w:hint="eastAsia"/>
                <w:color w:val="333333"/>
                <w:kern w:val="0"/>
                <w:sz w:val="24"/>
                <w:szCs w:val="24"/>
              </w:rPr>
              <w:t>重庆国调企业管理有限公司由重庆市城市建设投资（集团）有限公司和重庆市地产集团有限公司共同组建</w:t>
            </w:r>
            <w:r w:rsidR="00083094">
              <w:rPr>
                <w:rFonts w:ascii="楷体" w:eastAsia="楷体" w:hAnsi="楷体" w:cs="宋体" w:hint="eastAsia"/>
                <w:color w:val="333333"/>
                <w:kern w:val="0"/>
                <w:sz w:val="24"/>
                <w:szCs w:val="24"/>
              </w:rPr>
              <w:t>，</w:t>
            </w:r>
            <w:r w:rsidR="00083094" w:rsidRPr="00083094">
              <w:rPr>
                <w:rFonts w:ascii="楷体" w:eastAsia="楷体" w:hAnsi="楷体" w:cs="宋体" w:hint="eastAsia"/>
                <w:color w:val="333333"/>
                <w:kern w:val="0"/>
                <w:sz w:val="24"/>
                <w:szCs w:val="24"/>
              </w:rPr>
              <w:t>控股股东为重庆市城市建设投资（集团）有限公司。</w:t>
            </w:r>
          </w:p>
        </w:tc>
      </w:tr>
      <w:tr w:rsidR="00962346" w14:paraId="0AD222FE" w14:textId="77777777">
        <w:trPr>
          <w:trHeight w:val="404"/>
        </w:trPr>
        <w:tc>
          <w:tcPr>
            <w:tcW w:w="1694" w:type="dxa"/>
            <w:vMerge/>
            <w:shd w:val="clear" w:color="auto" w:fill="D9D9D9"/>
            <w:vAlign w:val="center"/>
          </w:tcPr>
          <w:p w14:paraId="6F36F2D8" w14:textId="77777777" w:rsidR="00962346" w:rsidRDefault="00962346">
            <w:pPr>
              <w:spacing w:line="500" w:lineRule="exact"/>
              <w:jc w:val="center"/>
              <w:rPr>
                <w:rFonts w:ascii="楷体" w:eastAsia="楷体" w:hAnsi="楷体" w:cs="宋体"/>
                <w:color w:val="333333"/>
                <w:kern w:val="0"/>
                <w:sz w:val="24"/>
                <w:szCs w:val="24"/>
              </w:rPr>
            </w:pPr>
          </w:p>
        </w:tc>
        <w:tc>
          <w:tcPr>
            <w:tcW w:w="1918" w:type="dxa"/>
          </w:tcPr>
          <w:p w14:paraId="2A0F2BE6" w14:textId="77777777" w:rsidR="00962346" w:rsidRDefault="0029749F">
            <w:pPr>
              <w:spacing w:line="500" w:lineRule="exact"/>
              <w:rPr>
                <w:rFonts w:ascii="楷体" w:eastAsia="楷体" w:hAnsi="楷体" w:cs="宋体"/>
                <w:color w:val="333333"/>
                <w:kern w:val="0"/>
                <w:sz w:val="24"/>
                <w:szCs w:val="24"/>
              </w:rPr>
            </w:pPr>
            <w:r>
              <w:rPr>
                <w:rFonts w:ascii="楷体" w:eastAsia="楷体" w:hAnsi="楷体" w:cs="宋体" w:hint="eastAsia"/>
                <w:color w:val="333333"/>
                <w:kern w:val="0"/>
                <w:sz w:val="24"/>
                <w:szCs w:val="24"/>
              </w:rPr>
              <w:t>3、重庆市能源投资集团有限公司</w:t>
            </w:r>
          </w:p>
        </w:tc>
        <w:tc>
          <w:tcPr>
            <w:tcW w:w="4663" w:type="dxa"/>
          </w:tcPr>
          <w:p w14:paraId="2313F1E5" w14:textId="1CCA98E2" w:rsidR="00962346" w:rsidRDefault="0029749F">
            <w:pPr>
              <w:spacing w:line="500" w:lineRule="exact"/>
              <w:rPr>
                <w:rFonts w:ascii="楷体" w:eastAsia="楷体" w:hAnsi="楷体" w:cs="宋体"/>
                <w:color w:val="333333"/>
                <w:kern w:val="0"/>
                <w:sz w:val="24"/>
                <w:szCs w:val="24"/>
              </w:rPr>
            </w:pPr>
            <w:r>
              <w:rPr>
                <w:rFonts w:ascii="楷体" w:eastAsia="楷体" w:hAnsi="楷体" w:cs="宋体" w:hint="eastAsia"/>
                <w:color w:val="333333"/>
                <w:kern w:val="0"/>
                <w:sz w:val="24"/>
                <w:szCs w:val="24"/>
              </w:rPr>
              <w:t>重庆市能源投资集团有限公司于1989年5月16日在重庆市渝北区注册成立，业务为重庆能投现有能源生产、建筑材料、能源服务、医康养、资产运营等产业板块。重庆市能源投资集团有限公司</w:t>
            </w:r>
            <w:r w:rsidR="00592762">
              <w:rPr>
                <w:rFonts w:ascii="楷体" w:eastAsia="楷体" w:hAnsi="楷体" w:cs="宋体" w:hint="eastAsia"/>
                <w:color w:val="333333"/>
                <w:kern w:val="0"/>
                <w:sz w:val="24"/>
                <w:szCs w:val="24"/>
              </w:rPr>
              <w:t>由</w:t>
            </w:r>
            <w:r w:rsidR="00592762" w:rsidRPr="00592762">
              <w:rPr>
                <w:rFonts w:ascii="楷体" w:eastAsia="楷体" w:hAnsi="楷体" w:cs="宋体" w:hint="eastAsia"/>
                <w:color w:val="333333"/>
                <w:kern w:val="0"/>
                <w:sz w:val="24"/>
                <w:szCs w:val="24"/>
              </w:rPr>
              <w:t>重庆市国有资产监督管理委员会</w:t>
            </w:r>
            <w:r w:rsidR="00592762">
              <w:rPr>
                <w:rFonts w:ascii="楷体" w:eastAsia="楷体" w:hAnsi="楷体" w:cs="宋体" w:hint="eastAsia"/>
                <w:color w:val="333333"/>
                <w:kern w:val="0"/>
                <w:sz w:val="24"/>
                <w:szCs w:val="24"/>
              </w:rPr>
              <w:t>1</w:t>
            </w:r>
            <w:r w:rsidR="00592762">
              <w:rPr>
                <w:rFonts w:ascii="楷体" w:eastAsia="楷体" w:hAnsi="楷体" w:cs="宋体"/>
                <w:color w:val="333333"/>
                <w:kern w:val="0"/>
                <w:sz w:val="24"/>
                <w:szCs w:val="24"/>
              </w:rPr>
              <w:t>00</w:t>
            </w:r>
            <w:r w:rsidR="00592762">
              <w:rPr>
                <w:rFonts w:ascii="楷体" w:eastAsia="楷体" w:hAnsi="楷体" w:cs="宋体" w:hint="eastAsia"/>
                <w:color w:val="333333"/>
                <w:kern w:val="0"/>
                <w:sz w:val="24"/>
                <w:szCs w:val="24"/>
              </w:rPr>
              <w:t>%持股</w:t>
            </w:r>
            <w:r w:rsidR="0041213A" w:rsidRPr="0041213A">
              <w:rPr>
                <w:rFonts w:ascii="楷体" w:eastAsia="楷体" w:hAnsi="楷体" w:cs="宋体" w:hint="eastAsia"/>
                <w:color w:val="333333"/>
                <w:kern w:val="0"/>
                <w:sz w:val="24"/>
                <w:szCs w:val="24"/>
              </w:rPr>
              <w:t>。</w:t>
            </w:r>
          </w:p>
        </w:tc>
      </w:tr>
      <w:tr w:rsidR="00962346" w14:paraId="2CFEE8A4" w14:textId="77777777">
        <w:trPr>
          <w:trHeight w:val="279"/>
        </w:trPr>
        <w:tc>
          <w:tcPr>
            <w:tcW w:w="1694" w:type="dxa"/>
            <w:vMerge w:val="restart"/>
            <w:shd w:val="clear" w:color="auto" w:fill="D9D9D9"/>
            <w:vAlign w:val="center"/>
          </w:tcPr>
          <w:p w14:paraId="3A9519A1" w14:textId="77777777" w:rsidR="00962346" w:rsidRDefault="0029749F">
            <w:pPr>
              <w:spacing w:line="500" w:lineRule="exact"/>
              <w:jc w:val="center"/>
              <w:rPr>
                <w:rFonts w:ascii="楷体" w:eastAsia="楷体" w:hAnsi="楷体" w:cs="宋体"/>
                <w:color w:val="333333"/>
                <w:kern w:val="0"/>
                <w:sz w:val="24"/>
                <w:szCs w:val="24"/>
              </w:rPr>
            </w:pPr>
            <w:r>
              <w:rPr>
                <w:rFonts w:ascii="楷体" w:eastAsia="楷体" w:hAnsi="楷体" w:cs="宋体" w:hint="eastAsia"/>
                <w:color w:val="333333"/>
                <w:kern w:val="0"/>
                <w:sz w:val="24"/>
                <w:szCs w:val="24"/>
              </w:rPr>
              <w:t>简易案件理由（可以单选，也可以多选）</w:t>
            </w:r>
          </w:p>
        </w:tc>
        <w:tc>
          <w:tcPr>
            <w:tcW w:w="6581" w:type="dxa"/>
            <w:gridSpan w:val="2"/>
          </w:tcPr>
          <w:p w14:paraId="0505078A" w14:textId="77777777" w:rsidR="00962346" w:rsidRDefault="0029749F">
            <w:pPr>
              <w:spacing w:line="500" w:lineRule="exact"/>
              <w:rPr>
                <w:rFonts w:ascii="楷体" w:eastAsia="楷体" w:hAnsi="楷体" w:cs="宋体"/>
                <w:color w:val="333333"/>
                <w:kern w:val="0"/>
                <w:sz w:val="24"/>
                <w:szCs w:val="24"/>
              </w:rPr>
            </w:pPr>
            <w:r>
              <w:rPr>
                <w:rFonts w:ascii="楷体" w:eastAsia="楷体" w:hAnsi="楷体" w:cs="宋体" w:hint="eastAsia"/>
                <w:color w:val="333333"/>
                <w:kern w:val="0"/>
                <w:sz w:val="24"/>
                <w:szCs w:val="24"/>
              </w:rPr>
              <w:sym w:font="Wingdings 2" w:char="F052"/>
            </w:r>
            <w:r>
              <w:rPr>
                <w:rFonts w:ascii="楷体" w:eastAsia="楷体" w:hAnsi="楷体" w:cs="宋体" w:hint="eastAsia"/>
                <w:color w:val="333333"/>
                <w:kern w:val="0"/>
                <w:sz w:val="24"/>
                <w:szCs w:val="24"/>
              </w:rPr>
              <w:t>1.在同一相关市场，所有参与集中的经营者所占市场份额之和小于15%。</w:t>
            </w:r>
          </w:p>
        </w:tc>
      </w:tr>
      <w:tr w:rsidR="00962346" w14:paraId="05C91FE7" w14:textId="77777777">
        <w:trPr>
          <w:trHeight w:val="330"/>
        </w:trPr>
        <w:tc>
          <w:tcPr>
            <w:tcW w:w="1694" w:type="dxa"/>
            <w:vMerge/>
            <w:shd w:val="clear" w:color="auto" w:fill="D9D9D9"/>
            <w:vAlign w:val="center"/>
          </w:tcPr>
          <w:p w14:paraId="4A2F9533" w14:textId="77777777" w:rsidR="00962346" w:rsidRDefault="00962346">
            <w:pPr>
              <w:spacing w:line="500" w:lineRule="exact"/>
              <w:jc w:val="center"/>
              <w:rPr>
                <w:rFonts w:ascii="楷体" w:eastAsia="楷体" w:hAnsi="楷体" w:cs="宋体"/>
                <w:color w:val="333333"/>
                <w:kern w:val="0"/>
                <w:sz w:val="24"/>
                <w:szCs w:val="24"/>
              </w:rPr>
            </w:pPr>
          </w:p>
        </w:tc>
        <w:tc>
          <w:tcPr>
            <w:tcW w:w="6581" w:type="dxa"/>
            <w:gridSpan w:val="2"/>
          </w:tcPr>
          <w:p w14:paraId="1E7B9328" w14:textId="77777777" w:rsidR="00962346" w:rsidRDefault="0029749F">
            <w:pPr>
              <w:spacing w:line="500" w:lineRule="exact"/>
              <w:rPr>
                <w:rFonts w:ascii="楷体" w:eastAsia="楷体" w:hAnsi="楷体" w:cs="宋体"/>
                <w:color w:val="333333"/>
                <w:kern w:val="0"/>
                <w:sz w:val="24"/>
                <w:szCs w:val="24"/>
              </w:rPr>
            </w:pPr>
            <w:r>
              <w:rPr>
                <w:rFonts w:ascii="楷体" w:eastAsia="楷体" w:hAnsi="楷体" w:cs="宋体" w:hint="eastAsia"/>
                <w:color w:val="333333"/>
                <w:kern w:val="0"/>
                <w:sz w:val="24"/>
                <w:szCs w:val="24"/>
              </w:rPr>
              <w:sym w:font="Wingdings 2" w:char="F052"/>
            </w:r>
            <w:r>
              <w:rPr>
                <w:rFonts w:ascii="楷体" w:eastAsia="楷体" w:hAnsi="楷体" w:cs="宋体" w:hint="eastAsia"/>
                <w:color w:val="333333"/>
                <w:kern w:val="0"/>
                <w:sz w:val="24"/>
                <w:szCs w:val="24"/>
              </w:rPr>
              <w:t>2.存在上下游关系的参与集中的经营者，在上下游市场所占的市场份额均小于25%。</w:t>
            </w:r>
          </w:p>
        </w:tc>
      </w:tr>
      <w:tr w:rsidR="00962346" w14:paraId="72B71B4A" w14:textId="77777777">
        <w:trPr>
          <w:trHeight w:val="285"/>
        </w:trPr>
        <w:tc>
          <w:tcPr>
            <w:tcW w:w="1694" w:type="dxa"/>
            <w:vMerge/>
            <w:shd w:val="clear" w:color="auto" w:fill="D9D9D9"/>
            <w:vAlign w:val="center"/>
          </w:tcPr>
          <w:p w14:paraId="0FD9A781" w14:textId="77777777" w:rsidR="00962346" w:rsidRDefault="00962346">
            <w:pPr>
              <w:spacing w:line="500" w:lineRule="exact"/>
              <w:jc w:val="center"/>
              <w:rPr>
                <w:rFonts w:ascii="楷体" w:eastAsia="楷体" w:hAnsi="楷体" w:cs="宋体"/>
                <w:color w:val="333333"/>
                <w:kern w:val="0"/>
                <w:sz w:val="24"/>
                <w:szCs w:val="24"/>
              </w:rPr>
            </w:pPr>
          </w:p>
        </w:tc>
        <w:tc>
          <w:tcPr>
            <w:tcW w:w="6581" w:type="dxa"/>
            <w:gridSpan w:val="2"/>
          </w:tcPr>
          <w:p w14:paraId="2BFBB763" w14:textId="77777777" w:rsidR="00962346" w:rsidRDefault="0029749F">
            <w:pPr>
              <w:spacing w:line="500" w:lineRule="exact"/>
              <w:rPr>
                <w:rFonts w:ascii="楷体" w:eastAsia="楷体" w:hAnsi="楷体" w:cs="宋体"/>
                <w:color w:val="333333"/>
                <w:kern w:val="0"/>
                <w:sz w:val="24"/>
                <w:szCs w:val="24"/>
              </w:rPr>
            </w:pPr>
            <w:r>
              <w:rPr>
                <w:rFonts w:ascii="楷体" w:eastAsia="楷体" w:hAnsi="楷体" w:cs="宋体" w:hint="eastAsia"/>
                <w:color w:val="333333"/>
                <w:kern w:val="0"/>
                <w:sz w:val="24"/>
                <w:szCs w:val="24"/>
              </w:rPr>
              <w:t>□3.不在同一相关市场、也不存在上下游关系的参与集中的经营者，在与交易有关的每个市场所占的份额均小于25%。</w:t>
            </w:r>
          </w:p>
        </w:tc>
      </w:tr>
      <w:tr w:rsidR="00962346" w14:paraId="724A0798" w14:textId="77777777">
        <w:trPr>
          <w:trHeight w:val="870"/>
        </w:trPr>
        <w:tc>
          <w:tcPr>
            <w:tcW w:w="1694" w:type="dxa"/>
            <w:vMerge/>
            <w:shd w:val="clear" w:color="auto" w:fill="D9D9D9"/>
            <w:vAlign w:val="center"/>
          </w:tcPr>
          <w:p w14:paraId="759EED46" w14:textId="77777777" w:rsidR="00962346" w:rsidRDefault="00962346">
            <w:pPr>
              <w:spacing w:line="500" w:lineRule="exact"/>
              <w:jc w:val="center"/>
              <w:rPr>
                <w:rFonts w:ascii="楷体" w:eastAsia="楷体" w:hAnsi="楷体" w:cs="宋体"/>
                <w:color w:val="333333"/>
                <w:kern w:val="0"/>
                <w:sz w:val="24"/>
                <w:szCs w:val="24"/>
              </w:rPr>
            </w:pPr>
          </w:p>
        </w:tc>
        <w:tc>
          <w:tcPr>
            <w:tcW w:w="6581" w:type="dxa"/>
            <w:gridSpan w:val="2"/>
          </w:tcPr>
          <w:p w14:paraId="6D019F52" w14:textId="77777777" w:rsidR="00962346" w:rsidRDefault="0029749F">
            <w:pPr>
              <w:spacing w:line="500" w:lineRule="exact"/>
              <w:rPr>
                <w:rFonts w:ascii="楷体" w:eastAsia="楷体" w:hAnsi="楷体" w:cs="宋体"/>
                <w:color w:val="333333"/>
                <w:kern w:val="0"/>
                <w:sz w:val="24"/>
                <w:szCs w:val="24"/>
              </w:rPr>
            </w:pPr>
            <w:r>
              <w:rPr>
                <w:rFonts w:ascii="楷体" w:eastAsia="楷体" w:hAnsi="楷体" w:cs="宋体" w:hint="eastAsia"/>
                <w:color w:val="333333"/>
                <w:kern w:val="0"/>
                <w:sz w:val="24"/>
                <w:szCs w:val="24"/>
              </w:rPr>
              <w:t>□4.参与集中的经营者在中国境外设立合营企业，合营企业不在中国境内从事经济活动。</w:t>
            </w:r>
          </w:p>
        </w:tc>
      </w:tr>
      <w:tr w:rsidR="00962346" w14:paraId="09F2A7BA" w14:textId="77777777">
        <w:trPr>
          <w:trHeight w:val="264"/>
        </w:trPr>
        <w:tc>
          <w:tcPr>
            <w:tcW w:w="1694" w:type="dxa"/>
            <w:vMerge/>
            <w:shd w:val="clear" w:color="auto" w:fill="D9D9D9"/>
            <w:vAlign w:val="center"/>
          </w:tcPr>
          <w:p w14:paraId="1D124756" w14:textId="77777777" w:rsidR="00962346" w:rsidRDefault="00962346">
            <w:pPr>
              <w:spacing w:line="500" w:lineRule="exact"/>
              <w:jc w:val="center"/>
              <w:rPr>
                <w:rFonts w:ascii="楷体" w:eastAsia="楷体" w:hAnsi="楷体" w:cs="宋体"/>
                <w:color w:val="333333"/>
                <w:kern w:val="0"/>
                <w:sz w:val="24"/>
                <w:szCs w:val="24"/>
              </w:rPr>
            </w:pPr>
          </w:p>
        </w:tc>
        <w:tc>
          <w:tcPr>
            <w:tcW w:w="6581" w:type="dxa"/>
            <w:gridSpan w:val="2"/>
          </w:tcPr>
          <w:p w14:paraId="61475E1F" w14:textId="77777777" w:rsidR="00962346" w:rsidRDefault="0029749F">
            <w:pPr>
              <w:spacing w:line="500" w:lineRule="exact"/>
              <w:rPr>
                <w:rFonts w:ascii="楷体" w:eastAsia="楷体" w:hAnsi="楷体" w:cs="宋体"/>
                <w:color w:val="333333"/>
                <w:kern w:val="0"/>
                <w:sz w:val="24"/>
                <w:szCs w:val="24"/>
              </w:rPr>
            </w:pPr>
            <w:r>
              <w:rPr>
                <w:rFonts w:ascii="楷体" w:eastAsia="楷体" w:hAnsi="楷体" w:cs="宋体" w:hint="eastAsia"/>
                <w:color w:val="333333"/>
                <w:kern w:val="0"/>
                <w:sz w:val="24"/>
                <w:szCs w:val="24"/>
              </w:rPr>
              <w:t>□5.参与集中的经营者收购境外企业股权或资产的，该境外企业不在中国境内从事经济活动。</w:t>
            </w:r>
          </w:p>
        </w:tc>
      </w:tr>
      <w:tr w:rsidR="00962346" w14:paraId="58C3BC34" w14:textId="77777777">
        <w:trPr>
          <w:trHeight w:val="345"/>
        </w:trPr>
        <w:tc>
          <w:tcPr>
            <w:tcW w:w="1694" w:type="dxa"/>
            <w:vMerge/>
            <w:shd w:val="clear" w:color="auto" w:fill="D9D9D9"/>
            <w:vAlign w:val="center"/>
          </w:tcPr>
          <w:p w14:paraId="3D194397" w14:textId="77777777" w:rsidR="00962346" w:rsidRDefault="00962346">
            <w:pPr>
              <w:spacing w:line="500" w:lineRule="exact"/>
              <w:jc w:val="center"/>
              <w:rPr>
                <w:rFonts w:ascii="楷体" w:eastAsia="楷体" w:hAnsi="楷体" w:cs="宋体"/>
                <w:color w:val="333333"/>
                <w:kern w:val="0"/>
                <w:sz w:val="24"/>
                <w:szCs w:val="24"/>
              </w:rPr>
            </w:pPr>
          </w:p>
        </w:tc>
        <w:tc>
          <w:tcPr>
            <w:tcW w:w="6581" w:type="dxa"/>
            <w:gridSpan w:val="2"/>
          </w:tcPr>
          <w:p w14:paraId="0D42DA77" w14:textId="77777777" w:rsidR="00962346" w:rsidRDefault="0029749F">
            <w:pPr>
              <w:spacing w:line="500" w:lineRule="exact"/>
              <w:rPr>
                <w:rFonts w:ascii="楷体" w:eastAsia="楷体" w:hAnsi="楷体" w:cs="宋体"/>
                <w:color w:val="333333"/>
                <w:kern w:val="0"/>
                <w:sz w:val="24"/>
                <w:szCs w:val="24"/>
              </w:rPr>
            </w:pPr>
            <w:r>
              <w:rPr>
                <w:rFonts w:ascii="楷体" w:eastAsia="楷体" w:hAnsi="楷体" w:cs="宋体" w:hint="eastAsia"/>
                <w:color w:val="333333"/>
                <w:kern w:val="0"/>
                <w:sz w:val="24"/>
                <w:szCs w:val="24"/>
              </w:rPr>
              <w:t>□6.由两个以上的经营者共同控制的合营企业，通过集中被其中一个或一个以上经营者控制。</w:t>
            </w:r>
          </w:p>
        </w:tc>
      </w:tr>
      <w:tr w:rsidR="00962346" w14:paraId="05EF62DA" w14:textId="77777777">
        <w:tc>
          <w:tcPr>
            <w:tcW w:w="1694" w:type="dxa"/>
            <w:shd w:val="clear" w:color="auto" w:fill="D9D9D9"/>
            <w:vAlign w:val="center"/>
          </w:tcPr>
          <w:p w14:paraId="681800D6" w14:textId="77777777" w:rsidR="00962346" w:rsidRDefault="0029749F">
            <w:pPr>
              <w:spacing w:line="500" w:lineRule="exact"/>
              <w:jc w:val="center"/>
              <w:rPr>
                <w:rFonts w:ascii="楷体" w:eastAsia="楷体" w:hAnsi="楷体" w:cs="宋体"/>
                <w:color w:val="333333"/>
                <w:kern w:val="0"/>
                <w:sz w:val="24"/>
                <w:szCs w:val="24"/>
              </w:rPr>
            </w:pPr>
            <w:r>
              <w:rPr>
                <w:rFonts w:ascii="楷体" w:eastAsia="楷体" w:hAnsi="楷体" w:cs="宋体" w:hint="eastAsia"/>
                <w:color w:val="333333"/>
                <w:kern w:val="0"/>
                <w:sz w:val="24"/>
                <w:szCs w:val="24"/>
              </w:rPr>
              <w:t>备注</w:t>
            </w:r>
          </w:p>
        </w:tc>
        <w:tc>
          <w:tcPr>
            <w:tcW w:w="6581" w:type="dxa"/>
            <w:gridSpan w:val="2"/>
          </w:tcPr>
          <w:p w14:paraId="5B18087D" w14:textId="77777777" w:rsidR="00D973A6" w:rsidRDefault="00D973A6" w:rsidP="00D973A6">
            <w:pPr>
              <w:spacing w:line="500" w:lineRule="exact"/>
              <w:rPr>
                <w:rFonts w:ascii="楷体" w:eastAsia="楷体" w:hAnsi="楷体" w:cs="宋体"/>
                <w:color w:val="333333"/>
                <w:kern w:val="0"/>
                <w:sz w:val="24"/>
                <w:szCs w:val="24"/>
              </w:rPr>
            </w:pPr>
            <w:r>
              <w:rPr>
                <w:rFonts w:ascii="楷体" w:eastAsia="楷体" w:hAnsi="楷体" w:cs="宋体" w:hint="eastAsia"/>
                <w:color w:val="333333"/>
                <w:kern w:val="0"/>
                <w:sz w:val="24"/>
                <w:szCs w:val="24"/>
              </w:rPr>
              <w:t>1</w:t>
            </w:r>
            <w:r>
              <w:rPr>
                <w:rFonts w:ascii="楷体" w:eastAsia="楷体" w:hAnsi="楷体" w:cs="宋体"/>
                <w:color w:val="333333"/>
                <w:kern w:val="0"/>
                <w:sz w:val="24"/>
                <w:szCs w:val="24"/>
              </w:rPr>
              <w:t>.</w:t>
            </w:r>
            <w:r>
              <w:rPr>
                <w:rFonts w:ascii="楷体" w:eastAsia="楷体" w:hAnsi="楷体" w:cs="宋体" w:hint="eastAsia"/>
                <w:color w:val="333333"/>
                <w:kern w:val="0"/>
                <w:sz w:val="24"/>
                <w:szCs w:val="24"/>
              </w:rPr>
              <w:t>相关市场：</w:t>
            </w:r>
            <w:r>
              <w:rPr>
                <w:rFonts w:ascii="楷体" w:eastAsia="楷体" w:hAnsi="楷体" w:cs="宋体" w:hint="eastAsia"/>
                <w:sz w:val="24"/>
                <w:szCs w:val="24"/>
              </w:rPr>
              <w:t>中国发电市场（横向重叠、纵向重叠上游市场），中国电解铝市场（横向重叠、纵向重叠下游市场）</w:t>
            </w:r>
          </w:p>
          <w:p w14:paraId="1D028D31" w14:textId="3418D516" w:rsidR="00D973A6" w:rsidRDefault="00D973A6" w:rsidP="00D973A6">
            <w:pPr>
              <w:spacing w:line="500" w:lineRule="exact"/>
              <w:rPr>
                <w:rFonts w:ascii="楷体" w:eastAsia="楷体" w:hAnsi="楷体" w:cs="宋体"/>
                <w:color w:val="333333"/>
                <w:kern w:val="0"/>
                <w:sz w:val="24"/>
                <w:szCs w:val="24"/>
              </w:rPr>
            </w:pPr>
            <w:r>
              <w:rPr>
                <w:rFonts w:ascii="楷体" w:eastAsia="楷体" w:hAnsi="楷体" w:cs="宋体"/>
                <w:color w:val="333333"/>
                <w:kern w:val="0"/>
                <w:sz w:val="24"/>
                <w:szCs w:val="24"/>
              </w:rPr>
              <w:t>2.</w:t>
            </w:r>
            <w:r>
              <w:rPr>
                <w:rFonts w:ascii="楷体" w:eastAsia="楷体" w:hAnsi="楷体" w:cs="宋体" w:hint="eastAsia"/>
                <w:color w:val="333333"/>
                <w:kern w:val="0"/>
                <w:sz w:val="24"/>
                <w:szCs w:val="24"/>
              </w:rPr>
              <w:t>各市场份额；各方均为0-</w:t>
            </w:r>
            <w:r>
              <w:rPr>
                <w:rFonts w:ascii="楷体" w:eastAsia="楷体" w:hAnsi="楷体" w:cs="宋体"/>
                <w:color w:val="333333"/>
                <w:kern w:val="0"/>
                <w:sz w:val="24"/>
                <w:szCs w:val="24"/>
              </w:rPr>
              <w:t>5</w:t>
            </w:r>
            <w:r>
              <w:rPr>
                <w:rFonts w:ascii="楷体" w:eastAsia="楷体" w:hAnsi="楷体" w:cs="宋体" w:hint="eastAsia"/>
                <w:color w:val="333333"/>
                <w:kern w:val="0"/>
                <w:sz w:val="24"/>
                <w:szCs w:val="24"/>
              </w:rPr>
              <w:t>%，合计0-</w:t>
            </w:r>
            <w:r>
              <w:rPr>
                <w:rFonts w:ascii="楷体" w:eastAsia="楷体" w:hAnsi="楷体" w:cs="宋体"/>
                <w:color w:val="333333"/>
                <w:kern w:val="0"/>
                <w:sz w:val="24"/>
                <w:szCs w:val="24"/>
              </w:rPr>
              <w:t>5</w:t>
            </w:r>
            <w:r>
              <w:rPr>
                <w:rFonts w:ascii="楷体" w:eastAsia="楷体" w:hAnsi="楷体" w:cs="宋体" w:hint="eastAsia"/>
                <w:color w:val="333333"/>
                <w:kern w:val="0"/>
                <w:sz w:val="24"/>
                <w:szCs w:val="24"/>
              </w:rPr>
              <w:t>%。</w:t>
            </w:r>
          </w:p>
        </w:tc>
      </w:tr>
    </w:tbl>
    <w:p w14:paraId="4BAFF4B3" w14:textId="77777777" w:rsidR="00962346" w:rsidRDefault="00962346">
      <w:pPr>
        <w:rPr>
          <w:rFonts w:ascii="楷体" w:eastAsia="楷体" w:hAnsi="楷体"/>
          <w:sz w:val="24"/>
          <w:szCs w:val="24"/>
        </w:rPr>
      </w:pPr>
    </w:p>
    <w:sectPr w:rsidR="00962346">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D1EF2" w14:textId="77777777" w:rsidR="00D53674" w:rsidRDefault="00D53674">
      <w:r>
        <w:separator/>
      </w:r>
    </w:p>
  </w:endnote>
  <w:endnote w:type="continuationSeparator" w:id="0">
    <w:p w14:paraId="0FA83658" w14:textId="77777777" w:rsidR="00D53674" w:rsidRDefault="00D53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9553147"/>
    </w:sdtPr>
    <w:sdtEndPr/>
    <w:sdtContent>
      <w:p w14:paraId="5315594C" w14:textId="77777777" w:rsidR="00962346" w:rsidRDefault="0029749F">
        <w:pPr>
          <w:pStyle w:val="Footer"/>
          <w:jc w:val="center"/>
        </w:pPr>
        <w:r>
          <w:fldChar w:fldCharType="begin"/>
        </w:r>
        <w:r>
          <w:instrText xml:space="preserve"> PAGE   \* MERGEFORMAT </w:instrText>
        </w:r>
        <w:r>
          <w:fldChar w:fldCharType="separate"/>
        </w:r>
        <w:r>
          <w:t>2</w:t>
        </w:r>
        <w:r>
          <w:fldChar w:fldCharType="end"/>
        </w:r>
      </w:p>
    </w:sdtContent>
  </w:sdt>
  <w:p w14:paraId="750FA82D" w14:textId="77777777" w:rsidR="00962346" w:rsidRDefault="009623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277DB" w14:textId="77777777" w:rsidR="00D53674" w:rsidRDefault="00D53674">
      <w:r>
        <w:separator/>
      </w:r>
    </w:p>
  </w:footnote>
  <w:footnote w:type="continuationSeparator" w:id="0">
    <w:p w14:paraId="3686B218" w14:textId="77777777" w:rsidR="00D53674" w:rsidRDefault="00D536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C357F"/>
    <w:multiLevelType w:val="hybridMultilevel"/>
    <w:tmpl w:val="7CA40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VlMjIwNDc0MjY4OWJhYWQxYTNmMjMzZjY3MWQ4OTEifQ=="/>
  </w:docVars>
  <w:rsids>
    <w:rsidRoot w:val="00CB00DF"/>
    <w:rsid w:val="0002539B"/>
    <w:rsid w:val="00037065"/>
    <w:rsid w:val="0005073A"/>
    <w:rsid w:val="000711DE"/>
    <w:rsid w:val="00083094"/>
    <w:rsid w:val="0009139C"/>
    <w:rsid w:val="000C00A3"/>
    <w:rsid w:val="000D7EBA"/>
    <w:rsid w:val="000F0E9C"/>
    <w:rsid w:val="001164CD"/>
    <w:rsid w:val="001362BF"/>
    <w:rsid w:val="00136524"/>
    <w:rsid w:val="00151619"/>
    <w:rsid w:val="00155717"/>
    <w:rsid w:val="001571C6"/>
    <w:rsid w:val="00157EC5"/>
    <w:rsid w:val="00165C29"/>
    <w:rsid w:val="001837A3"/>
    <w:rsid w:val="001A5371"/>
    <w:rsid w:val="001C76C4"/>
    <w:rsid w:val="002017FC"/>
    <w:rsid w:val="002325AE"/>
    <w:rsid w:val="00252646"/>
    <w:rsid w:val="00274BC9"/>
    <w:rsid w:val="0029749F"/>
    <w:rsid w:val="002B1C59"/>
    <w:rsid w:val="002F7975"/>
    <w:rsid w:val="00315254"/>
    <w:rsid w:val="003836E4"/>
    <w:rsid w:val="003A2152"/>
    <w:rsid w:val="003C0AEB"/>
    <w:rsid w:val="0041213A"/>
    <w:rsid w:val="00451958"/>
    <w:rsid w:val="004861A8"/>
    <w:rsid w:val="004E4823"/>
    <w:rsid w:val="004F7688"/>
    <w:rsid w:val="00527CB1"/>
    <w:rsid w:val="00554D84"/>
    <w:rsid w:val="005725D8"/>
    <w:rsid w:val="00586D77"/>
    <w:rsid w:val="00587A7A"/>
    <w:rsid w:val="00592762"/>
    <w:rsid w:val="005A11DC"/>
    <w:rsid w:val="005B7864"/>
    <w:rsid w:val="005B7CE8"/>
    <w:rsid w:val="005C20F5"/>
    <w:rsid w:val="00606AB9"/>
    <w:rsid w:val="00625B73"/>
    <w:rsid w:val="006467D8"/>
    <w:rsid w:val="00690595"/>
    <w:rsid w:val="00694651"/>
    <w:rsid w:val="006A531B"/>
    <w:rsid w:val="006F59CB"/>
    <w:rsid w:val="006F7693"/>
    <w:rsid w:val="00710140"/>
    <w:rsid w:val="007428ED"/>
    <w:rsid w:val="0077654D"/>
    <w:rsid w:val="0079381D"/>
    <w:rsid w:val="007C76E6"/>
    <w:rsid w:val="007F2275"/>
    <w:rsid w:val="007F7B66"/>
    <w:rsid w:val="00865634"/>
    <w:rsid w:val="00892033"/>
    <w:rsid w:val="008B1C95"/>
    <w:rsid w:val="008B1F00"/>
    <w:rsid w:val="008B282B"/>
    <w:rsid w:val="008E738F"/>
    <w:rsid w:val="00912294"/>
    <w:rsid w:val="00915F0F"/>
    <w:rsid w:val="009532DF"/>
    <w:rsid w:val="00962346"/>
    <w:rsid w:val="00971321"/>
    <w:rsid w:val="00980975"/>
    <w:rsid w:val="00996A24"/>
    <w:rsid w:val="00997019"/>
    <w:rsid w:val="009A5029"/>
    <w:rsid w:val="009B3504"/>
    <w:rsid w:val="009D1720"/>
    <w:rsid w:val="009D38D5"/>
    <w:rsid w:val="009F5992"/>
    <w:rsid w:val="00A06A4C"/>
    <w:rsid w:val="00A14708"/>
    <w:rsid w:val="00A35C14"/>
    <w:rsid w:val="00A53F26"/>
    <w:rsid w:val="00A559EE"/>
    <w:rsid w:val="00A74943"/>
    <w:rsid w:val="00AA0CC5"/>
    <w:rsid w:val="00AA103D"/>
    <w:rsid w:val="00AD1E34"/>
    <w:rsid w:val="00AD6005"/>
    <w:rsid w:val="00B05347"/>
    <w:rsid w:val="00B14A0C"/>
    <w:rsid w:val="00B16AFE"/>
    <w:rsid w:val="00B22CBE"/>
    <w:rsid w:val="00B31DB2"/>
    <w:rsid w:val="00B65DD5"/>
    <w:rsid w:val="00B734B4"/>
    <w:rsid w:val="00BB6A2F"/>
    <w:rsid w:val="00BD10B6"/>
    <w:rsid w:val="00C07076"/>
    <w:rsid w:val="00C53FF9"/>
    <w:rsid w:val="00CB00DF"/>
    <w:rsid w:val="00CD6322"/>
    <w:rsid w:val="00D107B1"/>
    <w:rsid w:val="00D53674"/>
    <w:rsid w:val="00D6217D"/>
    <w:rsid w:val="00D73C72"/>
    <w:rsid w:val="00D973A6"/>
    <w:rsid w:val="00E0592B"/>
    <w:rsid w:val="00E31738"/>
    <w:rsid w:val="00E52E1B"/>
    <w:rsid w:val="00E625A8"/>
    <w:rsid w:val="00E86640"/>
    <w:rsid w:val="00E86786"/>
    <w:rsid w:val="00E94D4B"/>
    <w:rsid w:val="00EA3746"/>
    <w:rsid w:val="00ED2F80"/>
    <w:rsid w:val="00F1624E"/>
    <w:rsid w:val="00F2568A"/>
    <w:rsid w:val="00F272D1"/>
    <w:rsid w:val="00F32F8A"/>
    <w:rsid w:val="00F343F8"/>
    <w:rsid w:val="00F41DB3"/>
    <w:rsid w:val="00F51F08"/>
    <w:rsid w:val="00F74D69"/>
    <w:rsid w:val="00F8022F"/>
    <w:rsid w:val="00F810AA"/>
    <w:rsid w:val="00FB02E5"/>
    <w:rsid w:val="00FB43EC"/>
    <w:rsid w:val="00FB6B40"/>
    <w:rsid w:val="6F6272B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81DBA"/>
  <w15:docId w15:val="{52E6998C-4337-46F2-869A-75ABCDCC9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Calibri" w:eastAsia="宋体" w:hAnsi="Calibri" w:cs="Times New Roman"/>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qFormat/>
    <w:pPr>
      <w:jc w:val="left"/>
    </w:pPr>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paragraph" w:styleId="CommentSubject">
    <w:name w:val="annotation subject"/>
    <w:basedOn w:val="CommentText"/>
    <w:next w:val="CommentText"/>
    <w:link w:val="CommentSubjectChar"/>
    <w:uiPriority w:val="99"/>
    <w:semiHidden/>
    <w:unhideWhenUsed/>
    <w:qFormat/>
    <w:rPr>
      <w:b/>
      <w:bCs/>
    </w:rPr>
  </w:style>
  <w:style w:type="character" w:styleId="CommentReference">
    <w:name w:val="annotation reference"/>
    <w:basedOn w:val="DefaultParagraphFont"/>
    <w:uiPriority w:val="99"/>
    <w:semiHidden/>
    <w:unhideWhenUsed/>
    <w:qFormat/>
    <w:rPr>
      <w:sz w:val="21"/>
      <w:szCs w:val="21"/>
    </w:rPr>
  </w:style>
  <w:style w:type="character" w:customStyle="1" w:styleId="HeaderChar">
    <w:name w:val="Header Char"/>
    <w:basedOn w:val="DefaultParagraphFont"/>
    <w:link w:val="Header"/>
    <w:uiPriority w:val="99"/>
    <w:rPr>
      <w:rFonts w:ascii="Calibri" w:eastAsia="宋体" w:hAnsi="Calibri" w:cs="Times New Roman"/>
      <w:sz w:val="18"/>
      <w:szCs w:val="18"/>
    </w:rPr>
  </w:style>
  <w:style w:type="character" w:customStyle="1" w:styleId="FooterChar">
    <w:name w:val="Footer Char"/>
    <w:basedOn w:val="DefaultParagraphFont"/>
    <w:link w:val="Footer"/>
    <w:uiPriority w:val="99"/>
    <w:qFormat/>
    <w:rPr>
      <w:rFonts w:ascii="Calibri" w:eastAsia="宋体" w:hAnsi="Calibri" w:cs="Times New Roman"/>
      <w:sz w:val="18"/>
      <w:szCs w:val="18"/>
    </w:rPr>
  </w:style>
  <w:style w:type="character" w:customStyle="1" w:styleId="BalloonTextChar">
    <w:name w:val="Balloon Text Char"/>
    <w:basedOn w:val="DefaultParagraphFont"/>
    <w:link w:val="BalloonText"/>
    <w:uiPriority w:val="99"/>
    <w:semiHidden/>
    <w:qFormat/>
    <w:rPr>
      <w:rFonts w:ascii="Calibri" w:eastAsia="宋体" w:hAnsi="Calibri" w:cs="Times New Roman"/>
      <w:sz w:val="18"/>
      <w:szCs w:val="18"/>
    </w:rPr>
  </w:style>
  <w:style w:type="character" w:customStyle="1" w:styleId="CommentTextChar">
    <w:name w:val="Comment Text Char"/>
    <w:basedOn w:val="DefaultParagraphFont"/>
    <w:link w:val="CommentText"/>
    <w:uiPriority w:val="99"/>
    <w:semiHidden/>
    <w:qFormat/>
    <w:rPr>
      <w:rFonts w:ascii="Calibri" w:eastAsia="宋体" w:hAnsi="Calibri" w:cs="Times New Roman"/>
    </w:rPr>
  </w:style>
  <w:style w:type="character" w:customStyle="1" w:styleId="CommentSubjectChar">
    <w:name w:val="Comment Subject Char"/>
    <w:basedOn w:val="CommentTextChar"/>
    <w:link w:val="CommentSubject"/>
    <w:uiPriority w:val="99"/>
    <w:semiHidden/>
    <w:qFormat/>
    <w:rPr>
      <w:rFonts w:ascii="Calibri" w:eastAsia="宋体" w:hAnsi="Calibri" w:cs="Times New Roman"/>
      <w:b/>
      <w:bCs/>
    </w:rPr>
  </w:style>
  <w:style w:type="paragraph" w:styleId="ListParagraph">
    <w:name w:val="List Paragraph"/>
    <w:basedOn w:val="Normal"/>
    <w:uiPriority w:val="99"/>
    <w:rsid w:val="00D973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文档" ma:contentTypeID="0x0101008EE5355E95043B448535C802F453CEB0" ma:contentTypeVersion="0" ma:contentTypeDescription="新建文档。" ma:contentTypeScope="" ma:versionID="5679587071bee4a3745974bb2a030fa2">
  <xsd:schema xmlns:xsd="http://www.w3.org/2001/XMLSchema" xmlns:xs="http://www.w3.org/2001/XMLSchema" xmlns:p="http://schemas.microsoft.com/office/2006/metadata/properties" xmlns:ns2="05085554-0ffa-4eaf-947a-36c3b366e666" targetNamespace="http://schemas.microsoft.com/office/2006/metadata/properties" ma:root="true" ma:fieldsID="b68532f5231ee06e716e13fba087e94a" ns2:_="">
    <xsd:import namespace="05085554-0ffa-4eaf-947a-36c3b366e666"/>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5554-0ffa-4eaf-947a-36c3b366e666"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永久 ID" ma:description="在添加过程中保留 I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05085554-0ffa-4eaf-947a-36c3b366e666">U7MTSZU7ZE52-15669-32</_dlc_DocId>
    <_dlc_DocIdUrl xmlns="05085554-0ffa-4eaf-947a-36c3b366e666">
      <Url>https://sp.zhonglun.com/sites/document10/NonViolation/_layouts/DocIdRedir.aspx?ID=U7MTSZU7ZE52-15669-32</Url>
      <Description>U7MTSZU7ZE52-15669-32</Description>
    </_dlc_DocIdUrl>
  </documentManagement>
</p:properties>
</file>

<file path=customXml/itemProps1.xml><?xml version="1.0" encoding="utf-8"?>
<ds:datastoreItem xmlns:ds="http://schemas.openxmlformats.org/officeDocument/2006/customXml" ds:itemID="{B65D946F-5950-48C2-B7F6-78B2B3CDDE43}">
  <ds:schemaRefs>
    <ds:schemaRef ds:uri="http://schemas.microsoft.com/sharepoint/v3/contenttype/forms"/>
  </ds:schemaRefs>
</ds:datastoreItem>
</file>

<file path=customXml/itemProps2.xml><?xml version="1.0" encoding="utf-8"?>
<ds:datastoreItem xmlns:ds="http://schemas.openxmlformats.org/officeDocument/2006/customXml" ds:itemID="{38C777F4-A01C-41DD-97AC-AC9EF147994C}">
  <ds:schemaRefs>
    <ds:schemaRef ds:uri="http://schemas.openxmlformats.org/officeDocument/2006/bibliography"/>
  </ds:schemaRefs>
</ds:datastoreItem>
</file>

<file path=customXml/itemProps3.xml><?xml version="1.0" encoding="utf-8"?>
<ds:datastoreItem xmlns:ds="http://schemas.openxmlformats.org/officeDocument/2006/customXml" ds:itemID="{7FBEA2C3-2940-48A7-964F-16B59F7063ED}">
  <ds:schemaRefs>
    <ds:schemaRef ds:uri="http://schemas.microsoft.com/sharepoint/events"/>
  </ds:schemaRefs>
</ds:datastoreItem>
</file>

<file path=customXml/itemProps4.xml><?xml version="1.0" encoding="utf-8"?>
<ds:datastoreItem xmlns:ds="http://schemas.openxmlformats.org/officeDocument/2006/customXml" ds:itemID="{63FBA0D7-D31F-4C11-9E47-C501D944D9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85554-0ffa-4eaf-947a-36c3b366e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CBE08A5-B7ED-4171-A28B-03ACF58EF09F}">
  <ds:schemaRefs>
    <ds:schemaRef ds:uri="http://schemas.microsoft.com/office/2006/metadata/properties"/>
    <ds:schemaRef ds:uri="http://schemas.microsoft.com/office/infopath/2007/PartnerControls"/>
    <ds:schemaRef ds:uri="05085554-0ffa-4eaf-947a-36c3b366e666"/>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168</Words>
  <Characters>960</Characters>
  <Application>Microsoft Office Word</Application>
  <DocSecurity>0</DocSecurity>
  <Lines>8</Lines>
  <Paragraphs>2</Paragraphs>
  <ScaleCrop>false</ScaleCrop>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zl</cp:lastModifiedBy>
  <cp:revision>47</cp:revision>
  <dcterms:created xsi:type="dcterms:W3CDTF">2022-05-31T01:58:00Z</dcterms:created>
  <dcterms:modified xsi:type="dcterms:W3CDTF">2022-11-22T12:11:00Z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05c0c60a-1fd4-4f30-ae67-cad62b74d362</vt:lpwstr>
  </property>
  <property fmtid="{D5CDD505-2E9C-101B-9397-08002B2CF9AE}" pid="3" name="ContentTypeId">
    <vt:lpwstr>0x0101008EE5355E95043B448535C802F453CEB0</vt:lpwstr>
  </property>
  <property fmtid="{D5CDD505-2E9C-101B-9397-08002B2CF9AE}" pid="4" name="KSOProductBuildVer">
    <vt:lpwstr>2052-11.1.0.12763</vt:lpwstr>
  </property>
  <property fmtid="{D5CDD505-2E9C-101B-9397-08002B2CF9AE}" pid="5" name="ICV">
    <vt:lpwstr>7B776E8013B14C84ACD0485E86C7C29D</vt:lpwstr>
  </property>
</Properties>
</file>