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黑体" w:hAnsi="黑体" w:eastAsia="黑体"/>
          <w:sz w:val="36"/>
          <w:szCs w:val="36"/>
        </w:rPr>
      </w:pPr>
      <w:r>
        <w:rPr>
          <w:rFonts w:ascii="黑体" w:hAnsi="黑体" w:eastAsia="黑体"/>
          <w:sz w:val="36"/>
          <w:szCs w:val="36"/>
        </w:rPr>
        <w:t>经营者集中简易案件公示表</w:t>
      </w:r>
    </w:p>
    <w:p>
      <w:pPr>
        <w:spacing w:before="9"/>
        <w:rPr>
          <w:sz w:val="25"/>
        </w:rPr>
      </w:pPr>
    </w:p>
    <w:tbl>
      <w:tblPr>
        <w:tblStyle w:val="7"/>
        <w:tblW w:w="9863" w:type="dxa"/>
        <w:tblInd w:w="-1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35"/>
        <w:gridCol w:w="1835"/>
        <w:gridCol w:w="6093"/>
      </w:tblGrid>
      <w:tr>
        <w:tblPrEx>
          <w:tblLayout w:type="fixed"/>
          <w:tblCellMar>
            <w:top w:w="0" w:type="dxa"/>
            <w:left w:w="0" w:type="dxa"/>
            <w:bottom w:w="0" w:type="dxa"/>
            <w:right w:w="0" w:type="dxa"/>
          </w:tblCellMar>
        </w:tblPrEx>
        <w:trPr>
          <w:trHeight w:val="735" w:hRule="atLeast"/>
        </w:trPr>
        <w:tc>
          <w:tcPr>
            <w:tcW w:w="1935" w:type="dxa"/>
            <w:shd w:val="clear" w:color="auto" w:fill="D9D9D9"/>
            <w:vAlign w:val="center"/>
          </w:tcPr>
          <w:p>
            <w:pPr>
              <w:jc w:val="center"/>
              <w:rPr>
                <w:sz w:val="24"/>
                <w:szCs w:val="24"/>
              </w:rPr>
            </w:pPr>
            <w:r>
              <w:rPr>
                <w:rFonts w:ascii="宋体" w:hAnsi="宋体" w:cs="Times New Roman"/>
                <w:sz w:val="24"/>
                <w:szCs w:val="24"/>
                <w:lang w:val="en-GB"/>
              </w:rPr>
              <w:t>案件名称</w:t>
            </w:r>
          </w:p>
        </w:tc>
        <w:tc>
          <w:tcPr>
            <w:tcW w:w="7928" w:type="dxa"/>
            <w:gridSpan w:val="2"/>
            <w:vAlign w:val="center"/>
          </w:tcPr>
          <w:p>
            <w:pPr>
              <w:jc w:val="center"/>
              <w:rPr>
                <w:sz w:val="24"/>
                <w:szCs w:val="24"/>
              </w:rPr>
            </w:pPr>
            <w:r>
              <w:rPr>
                <w:spacing w:val="-1"/>
                <w:sz w:val="24"/>
                <w:szCs w:val="24"/>
              </w:rPr>
              <w:t>长江生态环保集团有限公司收购中国市政华北设计研究总院有限公司股权案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2451" w:hRule="atLeast"/>
        </w:trPr>
        <w:tc>
          <w:tcPr>
            <w:tcW w:w="1935" w:type="dxa"/>
            <w:shd w:val="clear" w:color="auto" w:fill="D9D9D9"/>
            <w:vAlign w:val="center"/>
          </w:tcPr>
          <w:p>
            <w:pPr>
              <w:ind w:left="108"/>
              <w:jc w:val="center"/>
              <w:rPr>
                <w:rFonts w:ascii="宋体" w:hAnsi="宋体" w:cs="Times New Roman"/>
                <w:sz w:val="24"/>
                <w:szCs w:val="24"/>
                <w:lang w:val="en-GB" w:eastAsia="zh-CN"/>
              </w:rPr>
            </w:pPr>
            <w:r>
              <w:rPr>
                <w:rFonts w:ascii="宋体" w:hAnsi="宋体" w:cs="Times New Roman"/>
                <w:sz w:val="24"/>
                <w:szCs w:val="24"/>
                <w:lang w:val="en-GB" w:eastAsia="zh-CN"/>
              </w:rPr>
              <w:t>交易概况（限</w:t>
            </w:r>
          </w:p>
          <w:p>
            <w:pPr>
              <w:ind w:left="108"/>
              <w:jc w:val="center"/>
              <w:rPr>
                <w:sz w:val="24"/>
                <w:szCs w:val="24"/>
              </w:rPr>
            </w:pPr>
            <w:r>
              <w:rPr>
                <w:rFonts w:ascii="宋体" w:hAnsi="宋体" w:cs="Times New Roman"/>
                <w:sz w:val="24"/>
                <w:szCs w:val="24"/>
                <w:lang w:val="en-GB" w:eastAsia="zh-CN"/>
              </w:rPr>
              <w:t>200字内）</w:t>
            </w:r>
          </w:p>
        </w:tc>
        <w:tc>
          <w:tcPr>
            <w:tcW w:w="7928" w:type="dxa"/>
            <w:gridSpan w:val="2"/>
            <w:vAlign w:val="center"/>
          </w:tcPr>
          <w:p>
            <w:pPr>
              <w:keepNext w:val="0"/>
              <w:keepLines w:val="0"/>
              <w:pageBreakBefore w:val="0"/>
              <w:widowControl w:val="0"/>
              <w:kinsoku/>
              <w:wordWrap/>
              <w:overflowPunct/>
              <w:topLinePunct w:val="0"/>
              <w:autoSpaceDE/>
              <w:autoSpaceDN/>
              <w:bidi w:val="0"/>
              <w:adjustRightInd/>
              <w:snapToGrid/>
              <w:jc w:val="both"/>
              <w:textAlignment w:val="auto"/>
              <w:outlineLvl w:val="9"/>
              <w:rPr>
                <w:sz w:val="21"/>
              </w:rPr>
            </w:pPr>
            <w:r>
              <w:rPr>
                <w:rFonts w:hint="eastAsia" w:asciiTheme="minorEastAsia" w:hAnsiTheme="minorEastAsia" w:eastAsiaTheme="minorEastAsia" w:cstheme="minorEastAsia"/>
                <w:spacing w:val="-2"/>
                <w:sz w:val="24"/>
                <w:szCs w:val="24"/>
              </w:rPr>
              <w:t>长江</w:t>
            </w:r>
            <w:r>
              <w:rPr>
                <w:rFonts w:hint="eastAsia" w:asciiTheme="minorEastAsia" w:hAnsiTheme="minorEastAsia" w:eastAsiaTheme="minorEastAsia" w:cstheme="minorEastAsia"/>
                <w:spacing w:val="-2"/>
                <w:sz w:val="24"/>
                <w:szCs w:val="24"/>
                <w:lang w:val="en-US" w:eastAsia="zh-CN"/>
              </w:rPr>
              <w:t>生态</w:t>
            </w:r>
            <w:r>
              <w:rPr>
                <w:rFonts w:hint="eastAsia" w:asciiTheme="minorEastAsia" w:hAnsiTheme="minorEastAsia" w:eastAsiaTheme="minorEastAsia" w:cstheme="minorEastAsia"/>
                <w:spacing w:val="-2"/>
                <w:sz w:val="24"/>
                <w:szCs w:val="24"/>
              </w:rPr>
              <w:t>环保集团</w:t>
            </w:r>
            <w:r>
              <w:rPr>
                <w:rFonts w:hint="eastAsia" w:asciiTheme="minorEastAsia" w:hAnsiTheme="minorEastAsia" w:eastAsiaTheme="minorEastAsia" w:cstheme="minorEastAsia"/>
                <w:spacing w:val="-2"/>
                <w:sz w:val="24"/>
                <w:szCs w:val="24"/>
                <w:lang w:eastAsia="zh-CN"/>
              </w:rPr>
              <w:t>（“</w:t>
            </w:r>
            <w:r>
              <w:rPr>
                <w:rFonts w:hint="eastAsia" w:asciiTheme="minorEastAsia" w:hAnsiTheme="minorEastAsia" w:eastAsiaTheme="minorEastAsia" w:cstheme="minorEastAsia"/>
                <w:spacing w:val="-2"/>
                <w:sz w:val="24"/>
                <w:szCs w:val="24"/>
                <w:lang w:val="en-US" w:eastAsia="zh-CN"/>
              </w:rPr>
              <w:t>环保集团</w:t>
            </w:r>
            <w:r>
              <w:rPr>
                <w:rFonts w:hint="eastAsia" w:asciiTheme="minorEastAsia" w:hAnsiTheme="minorEastAsia" w:eastAsiaTheme="minorEastAsia" w:cstheme="minorEastAsia"/>
                <w:spacing w:val="-2"/>
                <w:sz w:val="24"/>
                <w:szCs w:val="24"/>
                <w:lang w:eastAsia="zh-CN"/>
              </w:rPr>
              <w:t>”）</w:t>
            </w:r>
            <w:r>
              <w:rPr>
                <w:rFonts w:hint="eastAsia" w:asciiTheme="minorEastAsia" w:hAnsiTheme="minorEastAsia" w:eastAsiaTheme="minorEastAsia" w:cstheme="minorEastAsia"/>
                <w:spacing w:val="-2"/>
                <w:sz w:val="24"/>
                <w:szCs w:val="24"/>
              </w:rPr>
              <w:t>与</w:t>
            </w:r>
            <w:r>
              <w:rPr>
                <w:rFonts w:hint="eastAsia" w:asciiTheme="minorEastAsia" w:hAnsiTheme="minorEastAsia" w:eastAsiaTheme="minorEastAsia" w:cstheme="minorEastAsia"/>
                <w:spacing w:val="-2"/>
                <w:sz w:val="24"/>
                <w:szCs w:val="24"/>
                <w:lang w:val="en-US" w:eastAsia="zh-CN"/>
              </w:rPr>
              <w:t>中国市政工程华北设计研究总院有限公司（“</w:t>
            </w:r>
            <w:r>
              <w:rPr>
                <w:rFonts w:hint="eastAsia" w:asciiTheme="minorEastAsia" w:hAnsiTheme="minorEastAsia" w:eastAsiaTheme="minorEastAsia" w:cstheme="minorEastAsia"/>
                <w:spacing w:val="-2"/>
                <w:sz w:val="24"/>
                <w:szCs w:val="24"/>
              </w:rPr>
              <w:t>华北院</w:t>
            </w:r>
            <w:r>
              <w:rPr>
                <w:rFonts w:hint="eastAsia" w:asciiTheme="minorEastAsia" w:hAnsiTheme="minorEastAsia" w:eastAsiaTheme="minorEastAsia" w:cstheme="minorEastAsia"/>
                <w:spacing w:val="-2"/>
                <w:sz w:val="24"/>
                <w:szCs w:val="24"/>
                <w:lang w:val="en-US" w:eastAsia="zh-CN"/>
              </w:rPr>
              <w:t>”）</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2"/>
                <w:sz w:val="24"/>
                <w:szCs w:val="24"/>
                <w:lang w:val="en-US" w:eastAsia="zh-CN"/>
              </w:rPr>
              <w:t>中国建设科技集团股份有限公司（“建科股份”）等</w:t>
            </w:r>
            <w:r>
              <w:rPr>
                <w:rFonts w:hint="eastAsia" w:asciiTheme="minorEastAsia" w:hAnsiTheme="minorEastAsia" w:eastAsiaTheme="minorEastAsia" w:cstheme="minorEastAsia"/>
                <w:spacing w:val="-2"/>
                <w:sz w:val="24"/>
                <w:szCs w:val="24"/>
              </w:rPr>
              <w:t>签署</w:t>
            </w:r>
            <w:r>
              <w:rPr>
                <w:rFonts w:hint="eastAsia" w:asciiTheme="minorEastAsia" w:hAnsiTheme="minorEastAsia" w:eastAsiaTheme="minorEastAsia" w:cstheme="minorEastAsia"/>
                <w:spacing w:val="-2"/>
                <w:sz w:val="24"/>
                <w:szCs w:val="24"/>
                <w:lang w:eastAsia="zh-CN"/>
              </w:rPr>
              <w:t>《</w:t>
            </w:r>
            <w:r>
              <w:rPr>
                <w:rFonts w:hint="eastAsia" w:asciiTheme="minorEastAsia" w:hAnsiTheme="minorEastAsia" w:eastAsiaTheme="minorEastAsia" w:cstheme="minorEastAsia"/>
                <w:spacing w:val="-2"/>
                <w:sz w:val="24"/>
                <w:szCs w:val="24"/>
                <w:lang w:val="en-US" w:eastAsia="zh-CN"/>
              </w:rPr>
              <w:t>增资扩股及股权转让协议</w:t>
            </w:r>
            <w:r>
              <w:rPr>
                <w:rFonts w:hint="eastAsia" w:asciiTheme="minorEastAsia" w:hAnsiTheme="minorEastAsia" w:eastAsiaTheme="minorEastAsia" w:cstheme="minorEastAsia"/>
                <w:spacing w:val="-2"/>
                <w:sz w:val="24"/>
                <w:szCs w:val="24"/>
                <w:lang w:eastAsia="zh-CN"/>
              </w:rPr>
              <w:t>》</w:t>
            </w:r>
            <w:r>
              <w:rPr>
                <w:rFonts w:hint="eastAsia" w:asciiTheme="minorEastAsia" w:hAnsiTheme="minorEastAsia" w:eastAsiaTheme="minorEastAsia" w:cstheme="minorEastAsia"/>
                <w:spacing w:val="-2"/>
                <w:sz w:val="24"/>
                <w:szCs w:val="24"/>
              </w:rPr>
              <w:t>，环保集团通过增资及股权受让</w:t>
            </w:r>
            <w:r>
              <w:rPr>
                <w:rFonts w:hint="eastAsia" w:asciiTheme="minorEastAsia" w:hAnsiTheme="minorEastAsia" w:eastAsiaTheme="minorEastAsia" w:cstheme="minorEastAsia"/>
                <w:sz w:val="24"/>
                <w:szCs w:val="24"/>
              </w:rPr>
              <w:t>持有华北院共计30%</w:t>
            </w:r>
            <w:r>
              <w:rPr>
                <w:rFonts w:hint="eastAsia" w:asciiTheme="minorEastAsia" w:hAnsiTheme="minorEastAsia" w:eastAsiaTheme="minorEastAsia" w:cstheme="minorEastAsia"/>
                <w:spacing w:val="-11"/>
                <w:sz w:val="24"/>
                <w:szCs w:val="24"/>
              </w:rPr>
              <w:t>股份。华北院主要从事市政勘察设计业务和市政公用工程总承</w:t>
            </w:r>
            <w:r>
              <w:rPr>
                <w:rFonts w:hint="eastAsia" w:asciiTheme="minorEastAsia" w:hAnsiTheme="minorEastAsia" w:eastAsiaTheme="minorEastAsia" w:cstheme="minorEastAsia"/>
                <w:sz w:val="24"/>
                <w:szCs w:val="24"/>
              </w:rPr>
              <w:t>包业务。交易前，</w:t>
            </w:r>
            <w:r>
              <w:rPr>
                <w:rFonts w:hint="eastAsia" w:asciiTheme="minorEastAsia" w:hAnsiTheme="minorEastAsia" w:eastAsiaTheme="minorEastAsia" w:cstheme="minorEastAsia"/>
                <w:sz w:val="24"/>
                <w:szCs w:val="24"/>
                <w:lang w:val="en-US" w:eastAsia="zh-CN"/>
              </w:rPr>
              <w:t>建科股份</w:t>
            </w:r>
            <w:r>
              <w:rPr>
                <w:rFonts w:hint="eastAsia" w:asciiTheme="minorEastAsia" w:hAnsiTheme="minorEastAsia" w:eastAsiaTheme="minorEastAsia" w:cstheme="minorEastAsia"/>
                <w:sz w:val="24"/>
                <w:szCs w:val="24"/>
              </w:rPr>
              <w:t>持有华北院100%的股权，单独控制华北院。交易后，</w:t>
            </w:r>
            <w:r>
              <w:rPr>
                <w:rFonts w:hint="eastAsia" w:asciiTheme="minorEastAsia" w:hAnsiTheme="minorEastAsia" w:eastAsiaTheme="minorEastAsia" w:cstheme="minorEastAsia"/>
                <w:sz w:val="24"/>
                <w:szCs w:val="24"/>
                <w:lang w:val="en-US" w:eastAsia="zh-CN"/>
              </w:rPr>
              <w:t>建科股份、</w:t>
            </w:r>
            <w:r>
              <w:rPr>
                <w:rFonts w:hint="eastAsia" w:asciiTheme="minorEastAsia" w:hAnsiTheme="minorEastAsia" w:eastAsiaTheme="minorEastAsia" w:cstheme="minorEastAsia"/>
                <w:spacing w:val="-5"/>
                <w:sz w:val="24"/>
                <w:szCs w:val="24"/>
              </w:rPr>
              <w:t>环保集团将</w:t>
            </w:r>
            <w:r>
              <w:rPr>
                <w:rFonts w:hint="eastAsia" w:asciiTheme="minorEastAsia" w:hAnsiTheme="minorEastAsia" w:eastAsiaTheme="minorEastAsia" w:cstheme="minorEastAsia"/>
                <w:spacing w:val="-5"/>
                <w:sz w:val="24"/>
                <w:szCs w:val="24"/>
                <w:lang w:val="en-US" w:eastAsia="zh-CN"/>
              </w:rPr>
              <w:t>分别</w:t>
            </w:r>
            <w:r>
              <w:rPr>
                <w:rFonts w:hint="eastAsia" w:asciiTheme="minorEastAsia" w:hAnsiTheme="minorEastAsia" w:eastAsiaTheme="minorEastAsia" w:cstheme="minorEastAsia"/>
                <w:spacing w:val="-5"/>
                <w:sz w:val="24"/>
                <w:szCs w:val="24"/>
              </w:rPr>
              <w:t>持有华北院</w:t>
            </w:r>
            <w:r>
              <w:rPr>
                <w:rFonts w:hint="eastAsia" w:asciiTheme="minorEastAsia" w:hAnsiTheme="minorEastAsia" w:eastAsiaTheme="minorEastAsia" w:cstheme="minorEastAsia"/>
                <w:spacing w:val="-5"/>
                <w:sz w:val="24"/>
                <w:szCs w:val="24"/>
                <w:lang w:val="en-US" w:eastAsia="zh-CN"/>
              </w:rPr>
              <w:t>65%、</w:t>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pacing w:val="-15"/>
                <w:sz w:val="24"/>
                <w:szCs w:val="24"/>
              </w:rPr>
              <w:t>的股权，共同控制华北院。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611" w:hRule="atLeast"/>
        </w:trPr>
        <w:tc>
          <w:tcPr>
            <w:tcW w:w="1935" w:type="dxa"/>
            <w:vMerge w:val="restart"/>
            <w:shd w:val="clear" w:color="auto" w:fill="D9D9D9"/>
            <w:vAlign w:val="center"/>
          </w:tcPr>
          <w:p>
            <w:pPr>
              <w:spacing w:line="242" w:lineRule="auto"/>
              <w:ind w:left="108" w:right="96"/>
              <w:jc w:val="center"/>
              <w:rPr>
                <w:sz w:val="24"/>
                <w:szCs w:val="24"/>
              </w:rPr>
            </w:pPr>
            <w:r>
              <w:rPr>
                <w:rFonts w:hint="eastAsia" w:ascii="宋体" w:hAnsi="宋体" w:cs="Times"/>
                <w:sz w:val="24"/>
                <w:szCs w:val="24"/>
                <w:lang w:eastAsia="zh-CN"/>
              </w:rPr>
              <w:t>参与集中的经营者简介</w:t>
            </w:r>
            <w:r>
              <w:rPr>
                <w:rFonts w:hint="eastAsia" w:ascii="宋体" w:hAnsi="宋体" w:cs="宋体"/>
                <w:bCs/>
                <w:color w:val="000000"/>
                <w:sz w:val="24"/>
                <w:szCs w:val="24"/>
                <w:lang w:eastAsia="zh-CN"/>
              </w:rPr>
              <w:t>（每个限</w:t>
            </w:r>
            <w:r>
              <w:rPr>
                <w:rFonts w:hint="eastAsia" w:ascii="宋体" w:hAnsi="宋体" w:cs="宋体"/>
                <w:bCs/>
                <w:color w:val="000000"/>
                <w:sz w:val="24"/>
                <w:szCs w:val="24"/>
                <w:lang w:val="en-US" w:eastAsia="zh-CN"/>
              </w:rPr>
              <w:t>100字以内</w:t>
            </w:r>
            <w:r>
              <w:rPr>
                <w:rFonts w:hint="eastAsia" w:ascii="宋体" w:hAnsi="宋体" w:cs="宋体"/>
                <w:bCs/>
                <w:color w:val="000000"/>
                <w:sz w:val="24"/>
                <w:szCs w:val="24"/>
                <w:lang w:eastAsia="zh-CN"/>
              </w:rPr>
              <w:t>）</w:t>
            </w:r>
          </w:p>
        </w:tc>
        <w:tc>
          <w:tcPr>
            <w:tcW w:w="1835" w:type="dxa"/>
            <w:vAlign w:val="center"/>
          </w:tcPr>
          <w:p>
            <w:pPr>
              <w:jc w:val="center"/>
              <w:rPr>
                <w:sz w:val="21"/>
              </w:rPr>
            </w:pPr>
            <w:r>
              <w:rPr>
                <w:rFonts w:hint="eastAsia" w:asciiTheme="minorEastAsia" w:hAnsiTheme="minorEastAsia" w:eastAsiaTheme="minorEastAsia" w:cstheme="minorEastAsia"/>
                <w:spacing w:val="-2"/>
                <w:sz w:val="24"/>
                <w:szCs w:val="24"/>
                <w:lang w:val="en-US" w:eastAsia="zh-CN"/>
              </w:rPr>
              <w:t>1.环保集团</w:t>
            </w:r>
          </w:p>
        </w:tc>
        <w:tc>
          <w:tcPr>
            <w:tcW w:w="6093" w:type="dxa"/>
          </w:tcPr>
          <w:p>
            <w:pPr>
              <w:keepNext w:val="0"/>
              <w:keepLines w:val="0"/>
              <w:pageBreakBefore w:val="0"/>
              <w:widowControl w:val="0"/>
              <w:kinsoku/>
              <w:wordWrap/>
              <w:overflowPunct/>
              <w:topLinePunct w:val="0"/>
              <w:autoSpaceDE/>
              <w:autoSpaceDN/>
              <w:bidi w:val="0"/>
              <w:adjustRightInd/>
              <w:snapToGrid/>
              <w:jc w:val="both"/>
              <w:textAlignment w:val="auto"/>
              <w:outlineLvl w:val="9"/>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2"/>
                <w:sz w:val="24"/>
                <w:szCs w:val="24"/>
                <w:lang w:val="en-US" w:eastAsia="zh-CN"/>
              </w:rPr>
              <w:t>环保集团于2018年12月13日成立于湖北省武汉市，其主要业务为给排水业务，城镇污水综合治理等。</w:t>
            </w:r>
          </w:p>
          <w:p>
            <w:pPr>
              <w:keepNext w:val="0"/>
              <w:keepLines w:val="0"/>
              <w:pageBreakBefore w:val="0"/>
              <w:widowControl w:val="0"/>
              <w:kinsoku/>
              <w:wordWrap/>
              <w:overflowPunct/>
              <w:topLinePunct w:val="0"/>
              <w:autoSpaceDE/>
              <w:autoSpaceDN/>
              <w:bidi w:val="0"/>
              <w:adjustRightInd/>
              <w:snapToGrid/>
              <w:jc w:val="both"/>
              <w:textAlignment w:val="auto"/>
              <w:outlineLvl w:val="9"/>
              <w:rPr>
                <w:sz w:val="21"/>
              </w:rPr>
            </w:pPr>
            <w:r>
              <w:rPr>
                <w:rFonts w:hint="eastAsia" w:asciiTheme="minorEastAsia" w:hAnsiTheme="minorEastAsia" w:eastAsiaTheme="minorEastAsia" w:cstheme="minorEastAsia"/>
                <w:spacing w:val="-2"/>
                <w:sz w:val="24"/>
                <w:szCs w:val="24"/>
                <w:highlight w:val="none"/>
                <w:lang w:val="en-US" w:eastAsia="zh-CN"/>
              </w:rPr>
              <w:t>环保集团最终控制人为中国长江三峡集团有限公司，其主要业务为水电工程建设与管理、水力风力太阳能发电、市政设施管理服务、工程管理服务、生态保护服务等。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1305" w:hRule="atLeast"/>
        </w:trPr>
        <w:tc>
          <w:tcPr>
            <w:tcW w:w="1935" w:type="dxa"/>
            <w:vMerge w:val="continue"/>
            <w:tcBorders>
              <w:top w:val="nil"/>
            </w:tcBorders>
            <w:shd w:val="clear" w:color="auto" w:fill="D9D9D9"/>
            <w:vAlign w:val="center"/>
          </w:tcPr>
          <w:p>
            <w:pPr>
              <w:jc w:val="center"/>
              <w:rPr>
                <w:sz w:val="24"/>
                <w:szCs w:val="24"/>
              </w:rPr>
            </w:pPr>
          </w:p>
        </w:tc>
        <w:tc>
          <w:tcPr>
            <w:tcW w:w="1835" w:type="dxa"/>
            <w:vAlign w:val="center"/>
          </w:tcPr>
          <w:p>
            <w:pPr>
              <w:jc w:val="center"/>
              <w:rPr>
                <w:sz w:val="21"/>
              </w:rPr>
            </w:pPr>
            <w:r>
              <w:rPr>
                <w:rFonts w:hint="eastAsia" w:asciiTheme="minorEastAsia" w:hAnsiTheme="minorEastAsia" w:eastAsiaTheme="minorEastAsia" w:cstheme="minorEastAsia"/>
                <w:spacing w:val="-2"/>
                <w:sz w:val="24"/>
                <w:szCs w:val="24"/>
                <w:lang w:val="en-US" w:eastAsia="zh-CN"/>
              </w:rPr>
              <w:t>2.建科股份</w:t>
            </w:r>
          </w:p>
        </w:tc>
        <w:tc>
          <w:tcPr>
            <w:tcW w:w="6093" w:type="dxa"/>
          </w:tcPr>
          <w:p>
            <w:pPr>
              <w:spacing w:line="270" w:lineRule="atLeast"/>
              <w:ind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2"/>
                <w:sz w:val="24"/>
                <w:szCs w:val="24"/>
                <w:lang w:val="en-US" w:eastAsia="zh-CN"/>
              </w:rPr>
              <w:t>建科股份于2014年6月30日成立于北京市，主要业务为市政工程勘察设计、市政工程总承包等。</w:t>
            </w:r>
          </w:p>
          <w:p>
            <w:pPr>
              <w:spacing w:line="270" w:lineRule="atLeast"/>
              <w:ind w:right="94"/>
              <w:jc w:val="both"/>
              <w:rPr>
                <w:sz w:val="21"/>
              </w:rPr>
            </w:pPr>
            <w:r>
              <w:rPr>
                <w:rFonts w:hint="eastAsia" w:asciiTheme="minorEastAsia" w:hAnsiTheme="minorEastAsia" w:eastAsiaTheme="minorEastAsia" w:cstheme="minorEastAsia"/>
                <w:spacing w:val="-2"/>
                <w:sz w:val="24"/>
                <w:szCs w:val="24"/>
                <w:lang w:val="en-US" w:eastAsia="zh-CN"/>
              </w:rPr>
              <w:t>建科股份最终控制人为中国建设科技有限公司，其主营业务为工程勘察设计、工程咨询等。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0" w:hRule="atLeast"/>
        </w:trPr>
        <w:tc>
          <w:tcPr>
            <w:tcW w:w="1935" w:type="dxa"/>
            <w:vMerge w:val="restart"/>
            <w:shd w:val="clear" w:color="auto" w:fill="D9D9D9"/>
            <w:vAlign w:val="center"/>
          </w:tcPr>
          <w:p>
            <w:pPr>
              <w:ind w:left="108"/>
              <w:jc w:val="center"/>
              <w:rPr>
                <w:sz w:val="24"/>
                <w:szCs w:val="24"/>
              </w:rPr>
            </w:pPr>
            <w:r>
              <w:rPr>
                <w:rFonts w:ascii="宋体" w:hAnsi="宋体" w:cs="Times New Roman"/>
                <w:sz w:val="24"/>
                <w:szCs w:val="24"/>
                <w:lang w:val="en-GB" w:eastAsia="zh-CN"/>
              </w:rPr>
              <w:t>简易案件理由（可以单选，也可以多选）</w:t>
            </w:r>
          </w:p>
        </w:tc>
        <w:tc>
          <w:tcPr>
            <w:tcW w:w="7928" w:type="dxa"/>
            <w:gridSpan w:val="2"/>
            <w:vAlign w:val="top"/>
          </w:tcPr>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ascii="宋体" w:hAnsi="宋体" w:cs="Arial"/>
                <w:bCs/>
                <w:sz w:val="24"/>
                <w:szCs w:val="24"/>
              </w:rPr>
              <w:sym w:font="Wingdings" w:char="F0FE"/>
            </w:r>
            <w:r>
              <w:rPr>
                <w:rFonts w:ascii="宋体" w:hAnsi="宋体"/>
                <w:color w:val="FF0000"/>
              </w:rPr>
              <w:t xml:space="preserve"> </w:t>
            </w:r>
            <w:r>
              <w:rPr>
                <w:rFonts w:hint="eastAsia" w:asciiTheme="minorEastAsia" w:hAnsiTheme="minorEastAsia" w:eastAsiaTheme="minorEastAsia" w:cstheme="minorEastAsia"/>
                <w:spacing w:val="-2"/>
                <w:sz w:val="24"/>
                <w:szCs w:val="24"/>
                <w:lang w:val="en-US" w:eastAsia="zh-CN"/>
              </w:rPr>
              <w:t>1、在同一相关市场，所有参与集中的经营者所占市场份额之和小于 15%。</w:t>
            </w:r>
            <w:bookmarkStart w:id="0" w:name="_GoBack"/>
            <w:bookmarkEnd w:id="0"/>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0" w:hRule="atLeast"/>
        </w:trPr>
        <w:tc>
          <w:tcPr>
            <w:tcW w:w="1935" w:type="dxa"/>
            <w:vMerge w:val="continue"/>
            <w:tcBorders>
              <w:top w:val="nil"/>
            </w:tcBorders>
            <w:shd w:val="clear" w:color="auto" w:fill="D9D9D9"/>
            <w:vAlign w:val="center"/>
          </w:tcPr>
          <w:p>
            <w:pPr>
              <w:jc w:val="center"/>
              <w:rPr>
                <w:sz w:val="24"/>
                <w:szCs w:val="24"/>
              </w:rPr>
            </w:pPr>
          </w:p>
        </w:tc>
        <w:tc>
          <w:tcPr>
            <w:tcW w:w="7928" w:type="dxa"/>
            <w:gridSpan w:val="2"/>
            <w:vAlign w:val="top"/>
          </w:tcPr>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ascii="宋体" w:hAnsi="宋体"/>
              </w:rPr>
              <w:t>□</w:t>
            </w:r>
            <w:r>
              <w:rPr>
                <w:rFonts w:hint="eastAsia" w:asciiTheme="minorEastAsia" w:hAnsiTheme="minorEastAsia" w:eastAsiaTheme="minorEastAsia" w:cstheme="minorEastAsia"/>
                <w:spacing w:val="-2"/>
                <w:sz w:val="24"/>
                <w:szCs w:val="24"/>
                <w:lang w:val="en-US" w:eastAsia="zh-CN"/>
              </w:rPr>
              <w:t xml:space="preserve"> 2、存在上下游关系的参与集中的经营者，在上下游市场所占的市场份额均小于 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0" w:hRule="atLeast"/>
        </w:trPr>
        <w:tc>
          <w:tcPr>
            <w:tcW w:w="1935" w:type="dxa"/>
            <w:vMerge w:val="continue"/>
            <w:tcBorders>
              <w:top w:val="nil"/>
            </w:tcBorders>
            <w:shd w:val="clear" w:color="auto" w:fill="D9D9D9"/>
            <w:vAlign w:val="center"/>
          </w:tcPr>
          <w:p>
            <w:pPr>
              <w:jc w:val="center"/>
              <w:rPr>
                <w:sz w:val="24"/>
                <w:szCs w:val="24"/>
              </w:rPr>
            </w:pPr>
          </w:p>
        </w:tc>
        <w:tc>
          <w:tcPr>
            <w:tcW w:w="7928" w:type="dxa"/>
            <w:gridSpan w:val="2"/>
            <w:vAlign w:val="top"/>
          </w:tcPr>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ascii="宋体" w:hAnsi="宋体"/>
              </w:rPr>
              <w:t>□</w:t>
            </w:r>
            <w:r>
              <w:rPr>
                <w:rFonts w:hint="eastAsia"/>
                <w:lang w:val="en-US" w:eastAsia="zh-CN"/>
              </w:rPr>
              <w:t xml:space="preserve"> </w:t>
            </w:r>
            <w:r>
              <w:rPr>
                <w:rFonts w:hint="eastAsia" w:asciiTheme="minorEastAsia" w:hAnsiTheme="minorEastAsia" w:eastAsiaTheme="minorEastAsia" w:cstheme="minorEastAsia"/>
                <w:spacing w:val="-2"/>
                <w:sz w:val="24"/>
                <w:szCs w:val="24"/>
                <w:lang w:val="en-US" w:eastAsia="zh-CN"/>
              </w:rPr>
              <w:t>3、不在同一相关市场、也不存在上下游关系的参与集中的经营者，在与交易有关的每个市场所占的份额均小于 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0" w:hRule="atLeast"/>
        </w:trPr>
        <w:tc>
          <w:tcPr>
            <w:tcW w:w="1935" w:type="dxa"/>
            <w:vMerge w:val="continue"/>
            <w:tcBorders>
              <w:top w:val="nil"/>
            </w:tcBorders>
            <w:shd w:val="clear" w:color="auto" w:fill="D9D9D9"/>
            <w:vAlign w:val="center"/>
          </w:tcPr>
          <w:p>
            <w:pPr>
              <w:jc w:val="center"/>
              <w:rPr>
                <w:sz w:val="24"/>
                <w:szCs w:val="24"/>
              </w:rPr>
            </w:pPr>
          </w:p>
        </w:tc>
        <w:tc>
          <w:tcPr>
            <w:tcW w:w="7928" w:type="dxa"/>
            <w:gridSpan w:val="2"/>
            <w:vAlign w:val="top"/>
          </w:tcPr>
          <w:p>
            <w:pPr>
              <w:spacing w:line="270" w:lineRule="atLeast"/>
              <w:ind w:left="108" w:right="94"/>
              <w:jc w:val="both"/>
              <w:rPr>
                <w:rFonts w:hint="default" w:asciiTheme="minorEastAsia" w:hAnsiTheme="minorEastAsia" w:eastAsiaTheme="minorEastAsia" w:cstheme="minorEastAsia"/>
                <w:spacing w:val="-2"/>
                <w:sz w:val="24"/>
                <w:szCs w:val="24"/>
                <w:lang w:val="en-US" w:eastAsia="zh-CN"/>
              </w:rPr>
            </w:pPr>
            <w:r>
              <w:rPr>
                <w:rFonts w:ascii="宋体" w:hAnsi="宋体"/>
              </w:rPr>
              <w:t>□</w:t>
            </w:r>
            <w:r>
              <w:rPr>
                <w:rFonts w:hint="eastAsia"/>
                <w:lang w:val="en-US" w:eastAsia="zh-CN"/>
              </w:rPr>
              <w:t xml:space="preserve"> </w:t>
            </w:r>
            <w:r>
              <w:rPr>
                <w:rFonts w:hint="eastAsia" w:asciiTheme="minorEastAsia" w:hAnsiTheme="minorEastAsia" w:eastAsiaTheme="minorEastAsia" w:cstheme="minorEastAsia"/>
                <w:spacing w:val="-2"/>
                <w:sz w:val="24"/>
                <w:szCs w:val="24"/>
                <w:lang w:val="en-US" w:eastAsia="zh-CN"/>
              </w:rPr>
              <w:t xml:space="preserve">4、参与集中的经营者在中国境外设立合营企业，合营企业不在中国境内从事经济活动。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0" w:hRule="atLeast"/>
        </w:trPr>
        <w:tc>
          <w:tcPr>
            <w:tcW w:w="1935" w:type="dxa"/>
            <w:vMerge w:val="continue"/>
            <w:tcBorders>
              <w:top w:val="nil"/>
            </w:tcBorders>
            <w:shd w:val="clear" w:color="auto" w:fill="D9D9D9"/>
            <w:vAlign w:val="center"/>
          </w:tcPr>
          <w:p>
            <w:pPr>
              <w:jc w:val="center"/>
              <w:rPr>
                <w:sz w:val="24"/>
                <w:szCs w:val="24"/>
              </w:rPr>
            </w:pPr>
          </w:p>
        </w:tc>
        <w:tc>
          <w:tcPr>
            <w:tcW w:w="7928" w:type="dxa"/>
            <w:gridSpan w:val="2"/>
            <w:vAlign w:val="top"/>
          </w:tcPr>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ascii="宋体" w:hAnsi="宋体"/>
              </w:rPr>
              <w:t>□</w:t>
            </w:r>
            <w:r>
              <w:rPr>
                <w:rFonts w:hint="eastAsia"/>
                <w:lang w:val="en-US" w:eastAsia="zh-CN"/>
              </w:rPr>
              <w:t xml:space="preserve"> </w:t>
            </w:r>
            <w:r>
              <w:rPr>
                <w:rFonts w:hint="eastAsia" w:asciiTheme="minorEastAsia" w:hAnsiTheme="minorEastAsia" w:eastAsiaTheme="minorEastAsia" w:cstheme="minorEastAsia"/>
                <w:spacing w:val="-2"/>
                <w:sz w:val="24"/>
                <w:szCs w:val="24"/>
                <w:lang w:val="en-US" w:eastAsia="zh-CN"/>
              </w:rPr>
              <w:t>5、参与集中的经营者收购境外企业股权或资产的，该境外企业不在中国境内从事经济活动。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680" w:hRule="atLeast"/>
        </w:trPr>
        <w:tc>
          <w:tcPr>
            <w:tcW w:w="1935" w:type="dxa"/>
            <w:vMerge w:val="continue"/>
            <w:tcBorders>
              <w:top w:val="nil"/>
              <w:bottom w:val="single" w:color="auto" w:sz="4" w:space="0"/>
            </w:tcBorders>
            <w:shd w:val="clear" w:color="auto" w:fill="D9D9D9"/>
            <w:vAlign w:val="center"/>
          </w:tcPr>
          <w:p>
            <w:pPr>
              <w:jc w:val="center"/>
              <w:rPr>
                <w:sz w:val="24"/>
                <w:szCs w:val="24"/>
              </w:rPr>
            </w:pPr>
          </w:p>
        </w:tc>
        <w:tc>
          <w:tcPr>
            <w:tcW w:w="7928" w:type="dxa"/>
            <w:gridSpan w:val="2"/>
            <w:vAlign w:val="top"/>
          </w:tcPr>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ascii="宋体" w:hAnsi="宋体"/>
              </w:rPr>
              <w:t>□</w:t>
            </w:r>
            <w:r>
              <w:rPr>
                <w:rFonts w:hint="eastAsia"/>
                <w:lang w:val="en-US" w:eastAsia="zh-CN"/>
              </w:rPr>
              <w:t xml:space="preserve"> </w:t>
            </w:r>
            <w:r>
              <w:rPr>
                <w:rFonts w:hint="eastAsia" w:asciiTheme="minorEastAsia" w:hAnsiTheme="minorEastAsia" w:eastAsiaTheme="minorEastAsia" w:cstheme="minorEastAsia"/>
                <w:spacing w:val="-2"/>
                <w:sz w:val="24"/>
                <w:szCs w:val="24"/>
                <w:lang w:val="en-US" w:eastAsia="zh-CN"/>
              </w:rPr>
              <w:t>6、由两个以上的经营者共同控制的合营企业，通过集中被其中一个或一个以上经营者控制。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Ex>
        <w:trPr>
          <w:trHeight w:val="2640" w:hRule="atLeast"/>
        </w:trPr>
        <w:tc>
          <w:tcPr>
            <w:tcW w:w="1935" w:type="dxa"/>
            <w:tcBorders>
              <w:top w:val="single" w:color="auto" w:sz="4" w:space="0"/>
            </w:tcBorders>
            <w:shd w:val="clear" w:color="auto" w:fill="D9D9D9"/>
            <w:vAlign w:val="center"/>
          </w:tcPr>
          <w:p>
            <w:pPr>
              <w:jc w:val="center"/>
              <w:rPr>
                <w:sz w:val="24"/>
                <w:szCs w:val="24"/>
              </w:rPr>
            </w:pPr>
            <w:r>
              <w:rPr>
                <w:rFonts w:ascii="宋体" w:hAnsi="宋体" w:cs="Times New Roman"/>
                <w:sz w:val="24"/>
                <w:szCs w:val="24"/>
                <w:lang w:val="en-GB" w:eastAsia="zh-CN"/>
              </w:rPr>
              <w:t>备注</w:t>
            </w:r>
          </w:p>
        </w:tc>
        <w:tc>
          <w:tcPr>
            <w:tcW w:w="7928" w:type="dxa"/>
            <w:gridSpan w:val="2"/>
            <w:vAlign w:val="center"/>
          </w:tcPr>
          <w:p>
            <w:pPr>
              <w:spacing w:line="270" w:lineRule="atLeast"/>
              <w:ind w:left="108" w:right="94"/>
              <w:jc w:val="both"/>
              <w:rPr>
                <w:rFonts w:hint="eastAsia" w:asciiTheme="minorEastAsia" w:hAnsiTheme="minorEastAsia" w:eastAsiaTheme="minorEastAsia" w:cstheme="minorEastAsia"/>
                <w:b/>
                <w:bCs/>
                <w:spacing w:val="-2"/>
                <w:sz w:val="24"/>
                <w:szCs w:val="24"/>
                <w:lang w:val="en-US" w:eastAsia="zh-CN"/>
              </w:rPr>
            </w:pPr>
            <w:r>
              <w:rPr>
                <w:rFonts w:hint="eastAsia" w:asciiTheme="minorEastAsia" w:hAnsiTheme="minorEastAsia" w:eastAsiaTheme="minorEastAsia" w:cstheme="minorEastAsia"/>
                <w:b/>
                <w:bCs/>
                <w:spacing w:val="-2"/>
                <w:sz w:val="24"/>
                <w:szCs w:val="24"/>
                <w:lang w:val="en-US" w:eastAsia="zh-CN"/>
              </w:rPr>
              <w:t>横向重叠：</w:t>
            </w: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2"/>
                <w:sz w:val="24"/>
                <w:szCs w:val="24"/>
                <w:lang w:val="en-US" w:eastAsia="zh-CN"/>
              </w:rPr>
              <w:t>2021 年中国境内市政公用工程勘察设计市场:</w:t>
            </w: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2"/>
                <w:sz w:val="24"/>
                <w:szCs w:val="24"/>
                <w:lang w:val="en-US" w:eastAsia="zh-CN"/>
              </w:rPr>
              <w:t>环保集团：0-5%</w:t>
            </w: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15"/>
                <w:sz w:val="24"/>
                <w:szCs w:val="24"/>
              </w:rPr>
              <w:t>建科</w:t>
            </w:r>
            <w:r>
              <w:rPr>
                <w:rFonts w:hint="eastAsia" w:asciiTheme="minorEastAsia" w:hAnsiTheme="minorEastAsia" w:eastAsiaTheme="minorEastAsia" w:cstheme="minorEastAsia"/>
                <w:spacing w:val="-15"/>
                <w:sz w:val="24"/>
                <w:szCs w:val="24"/>
                <w:lang w:val="en-US" w:eastAsia="zh-CN"/>
              </w:rPr>
              <w:t>股份</w:t>
            </w:r>
            <w:r>
              <w:rPr>
                <w:rFonts w:hint="eastAsia" w:asciiTheme="minorEastAsia" w:hAnsiTheme="minorEastAsia" w:eastAsiaTheme="minorEastAsia" w:cstheme="minorEastAsia"/>
                <w:spacing w:val="-2"/>
                <w:sz w:val="24"/>
                <w:szCs w:val="24"/>
                <w:lang w:val="en-US" w:eastAsia="zh-CN"/>
              </w:rPr>
              <w:t>: 0-5%</w:t>
            </w: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2"/>
                <w:sz w:val="24"/>
                <w:szCs w:val="24"/>
                <w:lang w:val="en-US" w:eastAsia="zh-CN"/>
              </w:rPr>
              <w:t xml:space="preserve">双方合计：0-5% </w:t>
            </w: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2"/>
                <w:sz w:val="24"/>
                <w:szCs w:val="24"/>
                <w:lang w:val="en-US" w:eastAsia="zh-CN"/>
              </w:rPr>
              <w:t>2021 年中国境内市政公用工程总承包市场:</w:t>
            </w: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2"/>
                <w:sz w:val="24"/>
                <w:szCs w:val="24"/>
                <w:lang w:val="en-US" w:eastAsia="zh-CN"/>
              </w:rPr>
              <w:t>环保集团：0-5%</w:t>
            </w: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15"/>
                <w:sz w:val="24"/>
                <w:szCs w:val="24"/>
              </w:rPr>
              <w:t>建科</w:t>
            </w:r>
            <w:r>
              <w:rPr>
                <w:rFonts w:hint="eastAsia" w:asciiTheme="minorEastAsia" w:hAnsiTheme="minorEastAsia" w:eastAsiaTheme="minorEastAsia" w:cstheme="minorEastAsia"/>
                <w:spacing w:val="-15"/>
                <w:sz w:val="24"/>
                <w:szCs w:val="24"/>
                <w:lang w:val="en-US" w:eastAsia="zh-CN"/>
              </w:rPr>
              <w:t>股份</w:t>
            </w:r>
            <w:r>
              <w:rPr>
                <w:rFonts w:hint="eastAsia" w:asciiTheme="minorEastAsia" w:hAnsiTheme="minorEastAsia" w:eastAsiaTheme="minorEastAsia" w:cstheme="minorEastAsia"/>
                <w:spacing w:val="-2"/>
                <w:sz w:val="24"/>
                <w:szCs w:val="24"/>
                <w:lang w:val="en-US" w:eastAsia="zh-CN"/>
              </w:rPr>
              <w:t>: 0-5%</w:t>
            </w:r>
          </w:p>
          <w:p>
            <w:pPr>
              <w:spacing w:line="270" w:lineRule="atLeast"/>
              <w:ind w:left="108" w:right="94"/>
              <w:jc w:val="both"/>
              <w:rPr>
                <w:rFonts w:hint="eastAsia" w:asciiTheme="minorEastAsia" w:hAnsiTheme="minorEastAsia" w:eastAsiaTheme="minorEastAsia" w:cstheme="minorEastAsia"/>
                <w:spacing w:val="-2"/>
                <w:sz w:val="24"/>
                <w:szCs w:val="24"/>
                <w:lang w:val="en-US" w:eastAsia="zh-CN"/>
              </w:rPr>
            </w:pPr>
            <w:r>
              <w:rPr>
                <w:rFonts w:hint="eastAsia" w:asciiTheme="minorEastAsia" w:hAnsiTheme="minorEastAsia" w:eastAsiaTheme="minorEastAsia" w:cstheme="minorEastAsia"/>
                <w:spacing w:val="-2"/>
                <w:sz w:val="24"/>
                <w:szCs w:val="24"/>
                <w:lang w:val="en-US" w:eastAsia="zh-CN"/>
              </w:rPr>
              <w:t>双方合计：0-5%</w:t>
            </w:r>
          </w:p>
        </w:tc>
      </w:tr>
    </w:tbl>
    <w:p>
      <w:pPr>
        <w:spacing w:before="137" w:line="261" w:lineRule="auto"/>
        <w:ind w:left="220" w:right="277" w:firstLine="420"/>
        <w:rPr>
          <w:sz w:val="21"/>
        </w:rPr>
      </w:pPr>
    </w:p>
    <w:sectPr>
      <w:pgSz w:w="11910" w:h="16840"/>
      <w:pgMar w:top="1420" w:right="640" w:bottom="280" w:left="14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plified Arabic">
    <w:altName w:val="Times New Roman"/>
    <w:panose1 w:val="02020603050405020304"/>
    <w:charset w:val="00"/>
    <w:family w:val="roman"/>
    <w:pitch w:val="default"/>
    <w:sig w:usb0="00000000" w:usb1="00000000" w:usb2="00000000" w:usb3="00000000" w:csb0="00000041" w:csb1="00000000"/>
  </w:font>
  <w:font w:name="Microsoft JhengHei">
    <w:panose1 w:val="020B0604030504040204"/>
    <w:charset w:val="88"/>
    <w:family w:val="swiss"/>
    <w:pitch w:val="default"/>
    <w:sig w:usb0="000002A7" w:usb1="28CF4400" w:usb2="00000016" w:usb3="00000000" w:csb0="00100009" w:csb1="00000000"/>
  </w:font>
  <w:font w:name="Times">
    <w:altName w:val="Times New Roman"/>
    <w:panose1 w:val="02020603050405020304"/>
    <w:charset w:val="00"/>
    <w:family w:val="roman"/>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975273"/>
    <w:rsid w:val="000E728D"/>
    <w:rsid w:val="00975273"/>
    <w:rsid w:val="287F2CD1"/>
    <w:rsid w:val="313B1DDE"/>
    <w:rsid w:val="351D0AB2"/>
    <w:rsid w:val="351F7DA4"/>
    <w:rsid w:val="359F059A"/>
    <w:rsid w:val="403E413B"/>
    <w:rsid w:val="498E6C93"/>
    <w:rsid w:val="4A6272F2"/>
    <w:rsid w:val="6666537B"/>
    <w:rsid w:val="695908AE"/>
    <w:rsid w:val="77890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Simplified Arabic"/>
      </w:rPr>
    </w:r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ody Text"/>
    <w:basedOn w:val="1"/>
    <w:qFormat/>
    <w:uiPriority w:val="1"/>
    <w:rPr>
      <w:sz w:val="32"/>
      <w:szCs w:val="32"/>
    </w:rPr>
  </w:style>
  <w:style w:type="paragraph" w:styleId="3">
    <w:name w:val="footer"/>
    <w:basedOn w:val="1"/>
    <w:link w:val="11"/>
    <w:unhideWhenUsed/>
    <w:uiPriority w:val="99"/>
    <w:pPr>
      <w:tabs>
        <w:tab w:val="center" w:pos="4153"/>
        <w:tab w:val="right" w:pos="8306"/>
      </w:tabs>
      <w:snapToGrid w:val="0"/>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customStyle="1" w:styleId="7">
    <w:name w:val="Table Normal"/>
    <w:semiHidden/>
    <w:unhideWhenUsed/>
    <w:qFormat/>
    <w:uiPriority w:val="2"/>
    <w:tblPr>
      <w:tblLayout w:type="fixed"/>
      <w:tblCellMar>
        <w:top w:w="0" w:type="dxa"/>
        <w:left w:w="0" w:type="dxa"/>
        <w:bottom w:w="0" w:type="dxa"/>
        <w:right w:w="0" w:type="dxa"/>
      </w:tblCellMar>
    </w:tblPr>
  </w:style>
  <w:style w:type="paragraph" w:styleId="8">
    <w:name w:val="List Paragraph"/>
    <w:basedOn w:val="1"/>
    <w:qFormat/>
    <w:uiPriority w:val="1"/>
    <w:pPr>
      <w:ind w:left="1167" w:hanging="528"/>
    </w:pPr>
    <w:rPr>
      <w:rFonts w:ascii="Microsoft JhengHei" w:hAnsi="Microsoft JhengHei" w:eastAsia="Microsoft JhengHei" w:cs="Microsoft JhengHei"/>
    </w:rPr>
  </w:style>
  <w:style w:type="paragraph" w:customStyle="1" w:styleId="9">
    <w:name w:val="Table Paragraph"/>
    <w:basedOn w:val="1"/>
    <w:qFormat/>
    <w:uiPriority w:val="1"/>
    <w:pPr>
      <w:spacing w:before="16"/>
      <w:ind w:left="1155"/>
      <w:jc w:val="center"/>
    </w:pPr>
  </w:style>
  <w:style w:type="character" w:customStyle="1" w:styleId="10">
    <w:name w:val="页眉 Char"/>
    <w:basedOn w:val="5"/>
    <w:link w:val="4"/>
    <w:uiPriority w:val="99"/>
    <w:rPr>
      <w:rFonts w:ascii="宋体" w:hAnsi="宋体" w:eastAsia="宋体" w:cs="宋体"/>
      <w:sz w:val="18"/>
      <w:szCs w:val="18"/>
      <w:lang w:eastAsia="zh-CN"/>
    </w:rPr>
  </w:style>
  <w:style w:type="character" w:customStyle="1" w:styleId="11">
    <w:name w:val="页脚 Char"/>
    <w:basedOn w:val="5"/>
    <w:link w:val="3"/>
    <w:uiPriority w:val="99"/>
    <w:rPr>
      <w:rFonts w:ascii="宋体" w:hAnsi="宋体" w:eastAsia="宋体" w:cs="宋体"/>
      <w:sz w:val="18"/>
      <w:szCs w:val="18"/>
      <w:lang w:eastAsia="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Aliyun</Company>
  <Pages>6</Pages>
  <Words>972</Words>
  <Characters>5542</Characters>
  <Lines>46</Lines>
  <Paragraphs>13</Paragraphs>
  <TotalTime>54</TotalTime>
  <ScaleCrop>false</ScaleCrop>
  <LinksUpToDate>false</LinksUpToDate>
  <CharactersWithSpaces>6501</CharactersWithSpaces>
  <Application>WPS Office_10.8.2.7090_F1E327BC-269C-435d-A152-05C5408002CA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2023-04-06T07:00:00Z</dcterms:created>
  <dc:creator>dell</dc:creator>
  <cp:lastModifiedBy>管理人员</cp:lastModifiedBy>
  <cp:lastPrinted>2023-04-13T02:08:00Z</cp:lastPrinted>
  <dcterms:modified xsi:type="dcterms:W3CDTF">2023-04-14T01:46:18Z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pdftk-java 3.2.3</vt:lpwstr>
  </property>
  <property fmtid="{D5CDD505-2E9C-101B-9397-08002B2CF9AE}" pid="4" name="LastSaved">
    <vt:filetime>2023-04-06T00:00:00Z</vt:filetime>
  </property>
  <property fmtid="{D5CDD505-2E9C-101B-9397-08002B2CF9AE}" pid="5" name="Producer">
    <vt:lpwstr>itext-paulo-155 (itextpdf.sf.net - lowagie.com)</vt:lpwstr>
  </property>
  <property fmtid="{D5CDD505-2E9C-101B-9397-08002B2CF9AE}" pid="6" name="KSOProductBuildVer">
    <vt:lpwstr>2052-10.8.2.7090</vt:lpwstr>
  </property>
</Properties>
</file>