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Arial"/>
          <w:b/>
          <w:sz w:val="36"/>
          <w:szCs w:val="36"/>
        </w:rPr>
      </w:pPr>
      <w:r>
        <w:rPr>
          <w:rFonts w:ascii="宋体" w:hAnsi="宋体" w:cs="Arial"/>
          <w:b/>
          <w:sz w:val="36"/>
          <w:szCs w:val="36"/>
        </w:rPr>
        <w:t>经营者集中简易案件公示表</w:t>
      </w:r>
    </w:p>
    <w:p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050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" w:hRule="atLeast"/>
        </w:trPr>
        <w:tc>
          <w:tcPr>
            <w:tcW w:w="1555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德科投资有限公司收购北京外企人力资源服务济南有限公司股权案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8" w:hRule="atLeast"/>
        </w:trPr>
        <w:tc>
          <w:tcPr>
            <w:tcW w:w="1555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交易概况（限200字内）</w:t>
            </w: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德科投资有限公司（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>
              <w:rPr>
                <w:rFonts w:hint="eastAsia" w:ascii="Arial" w:hAnsi="Arial" w:cs="Arial"/>
                <w:sz w:val="24"/>
                <w:szCs w:val="24"/>
              </w:rPr>
              <w:t>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德科中国</w:t>
            </w:r>
            <w:r>
              <w:rPr>
                <w:rFonts w:hint="eastAsia" w:ascii="Arial" w:hAnsi="Arial" w:cs="Arial"/>
                <w:sz w:val="24"/>
                <w:szCs w:val="24"/>
              </w:rPr>
              <w:t>”）与山东省瀚森国际经贸合作有限公司（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>
              <w:rPr>
                <w:rFonts w:hint="eastAsia" w:ascii="Arial" w:hAnsi="Arial" w:cs="Arial"/>
                <w:sz w:val="24"/>
                <w:szCs w:val="24"/>
              </w:rPr>
              <w:t>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山东瀚森</w:t>
            </w:r>
            <w:r>
              <w:rPr>
                <w:rFonts w:hint="eastAsia" w:ascii="Arial" w:hAnsi="Arial" w:cs="Arial"/>
                <w:sz w:val="24"/>
                <w:szCs w:val="24"/>
              </w:rPr>
              <w:t>”）签署协议，德科中国收购山东瀚森持有的北京外企人力资源服务济南有限公司（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>
              <w:rPr>
                <w:rFonts w:hint="eastAsia" w:ascii="Arial" w:hAnsi="Arial" w:cs="Arial"/>
                <w:sz w:val="24"/>
                <w:szCs w:val="24"/>
              </w:rPr>
              <w:t>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济南外企人力</w:t>
            </w:r>
            <w:r>
              <w:rPr>
                <w:rFonts w:hint="eastAsia" w:ascii="Arial" w:hAnsi="Arial" w:cs="Arial"/>
                <w:sz w:val="24"/>
                <w:szCs w:val="24"/>
              </w:rPr>
              <w:t>”）4</w:t>
            </w:r>
            <w:r>
              <w:rPr>
                <w:rFonts w:ascii="Arial" w:hAnsi="Arial" w:cs="Arial"/>
                <w:sz w:val="24"/>
                <w:szCs w:val="24"/>
              </w:rPr>
              <w:t>5%</w:t>
            </w:r>
            <w:r>
              <w:rPr>
                <w:rFonts w:hint="eastAsia" w:ascii="Arial" w:hAnsi="Arial" w:cs="Arial"/>
                <w:sz w:val="24"/>
                <w:szCs w:val="24"/>
              </w:rPr>
              <w:t>的股权（以下简称“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本次交易</w:t>
            </w:r>
            <w:r>
              <w:rPr>
                <w:rFonts w:hint="eastAsia" w:ascii="Arial" w:hAnsi="Arial" w:cs="Arial"/>
                <w:sz w:val="24"/>
                <w:szCs w:val="24"/>
              </w:rPr>
              <w:t>”）。济南外企人力主要从事人事管理服务业务、劳务派遣服务业务。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本次交易前，北京外企人力资源服务有限公司（以下简称“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北京外企人力</w:t>
            </w:r>
            <w:r>
              <w:rPr>
                <w:rFonts w:hint="eastAsia" w:ascii="Arial" w:hAnsi="Arial" w:cs="Arial"/>
                <w:sz w:val="24"/>
                <w:szCs w:val="24"/>
              </w:rPr>
              <w:t>”）单独控制济南外企人力；本次交易完成后，北京外企人力和德科中国将分别持有济南外企人力5</w:t>
            </w:r>
            <w:r>
              <w:rPr>
                <w:rFonts w:ascii="Arial" w:hAnsi="Arial" w:cs="Arial"/>
                <w:sz w:val="24"/>
                <w:szCs w:val="24"/>
              </w:rPr>
              <w:t>5%</w:t>
            </w:r>
            <w:r>
              <w:rPr>
                <w:rFonts w:hint="eastAsia" w:ascii="Arial" w:hAnsi="Arial" w:cs="Arial"/>
                <w:sz w:val="24"/>
                <w:szCs w:val="24"/>
              </w:rPr>
              <w:t>和4</w:t>
            </w:r>
            <w:r>
              <w:rPr>
                <w:rFonts w:ascii="Arial" w:hAnsi="Arial" w:cs="Arial"/>
                <w:sz w:val="24"/>
                <w:szCs w:val="24"/>
              </w:rPr>
              <w:t>5%</w:t>
            </w:r>
            <w:r>
              <w:rPr>
                <w:rFonts w:hint="eastAsia" w:ascii="Arial" w:hAnsi="Arial" w:cs="Arial"/>
                <w:sz w:val="24"/>
                <w:szCs w:val="24"/>
              </w:rPr>
              <w:t>的股权，共同控制济南外企人力。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55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2050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德科中国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德科中国于2021年2月8日成立于中国上海市，主要通过其在中国境内的关联实体从事业务流程外包、人事薪酬服务、招聘猎头、员工薪酬福利、职涯过渡与转型等人力资源服务。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德科中国最终控制人为Adecco Group AG，主要业务为在全球范围内提供人力资源服务。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0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北京外企人力</w:t>
            </w:r>
          </w:p>
        </w:tc>
        <w:tc>
          <w:tcPr>
            <w:tcW w:w="5153" w:type="dxa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北京外企人力于2002年11月8日成立于中国北京市，其主要提供人力资源服务，主要包括人事管理服务、劳务派遣、薪酬福利服务、业务外包服务、招聘及灵活用工服务等。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北京外企人力最终控制人为北京国有资本运营管理有限公司，主要业务为资本运营、投资管理、基金管理。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55" w:type="dxa"/>
            <w:vMerge w:val="restart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b/>
                <w:sz w:val="24"/>
                <w:szCs w:val="24"/>
              </w:rPr>
              <w:t>1. 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bCs/>
                <w:sz w:val="24"/>
                <w:szCs w:val="24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sz w:val="24"/>
                <w:szCs w:val="24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5. 参与集中的经营者收购境外企业股权或资产的，该境外企业不在中国境内从事经济活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>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55" w:type="dxa"/>
            <w:vMerge w:val="continue"/>
            <w:shd w:val="clear" w:color="auto" w:fill="D8D8D8" w:themeFill="background1" w:themeFillShade="D9"/>
          </w:tcPr>
          <w:p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555" w:type="dxa"/>
            <w:shd w:val="clear" w:color="auto" w:fill="D8D8D8" w:themeFill="background1" w:themeFillShade="D9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</w:tcPr>
          <w:p>
            <w:pPr>
              <w:jc w:val="left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</w:rPr>
              <w:t>横向</w:t>
            </w:r>
            <w:r>
              <w:rPr>
                <w:rFonts w:hint="eastAsia" w:ascii="Arial" w:hAnsi="Arial" w:cs="Arial"/>
                <w:b/>
                <w:sz w:val="24"/>
                <w:szCs w:val="24"/>
                <w:lang w:eastAsia="zh-CN"/>
              </w:rPr>
              <w:t>重叠</w:t>
            </w:r>
            <w:r>
              <w:rPr>
                <w:rFonts w:hint="eastAsia" w:ascii="Arial" w:hAnsi="Arial" w:cs="Arial"/>
                <w:b/>
                <w:sz w:val="24"/>
                <w:szCs w:val="24"/>
              </w:rPr>
              <w:t>：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022</w:t>
            </w:r>
            <w:r>
              <w:rPr>
                <w:rFonts w:hint="eastAsia" w:ascii="Arial" w:hAnsi="Arial" w:cs="Arial"/>
                <w:sz w:val="24"/>
                <w:szCs w:val="24"/>
              </w:rPr>
              <w:t>年中国境内人事管理服务市场：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北京外企人力：[0-5]%；德科中国：[0-5]%；双方合计：[</w:t>
            </w:r>
            <w:r>
              <w:rPr>
                <w:rFonts w:ascii="Arial" w:hAnsi="Arial" w:cs="Arial"/>
                <w:sz w:val="24"/>
                <w:szCs w:val="24"/>
              </w:rPr>
              <w:t>0-5]%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022</w:t>
            </w:r>
            <w:r>
              <w:rPr>
                <w:rFonts w:hint="eastAsia" w:ascii="Arial" w:hAnsi="Arial" w:cs="Arial"/>
                <w:sz w:val="24"/>
                <w:szCs w:val="24"/>
              </w:rPr>
              <w:t>年中国境内劳务派遣服务市场：</w:t>
            </w:r>
          </w:p>
          <w:p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北京外企人力：[0-5]%；德科中国：[0-5]%；双方合计：[</w:t>
            </w:r>
            <w:r>
              <w:rPr>
                <w:rFonts w:ascii="Arial" w:hAnsi="Arial" w:cs="Arial"/>
                <w:sz w:val="24"/>
                <w:szCs w:val="24"/>
              </w:rPr>
              <w:t>0-5]%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DejaVu Sans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8C1"/>
    <w:rsid w:val="000847E1"/>
    <w:rsid w:val="001963DD"/>
    <w:rsid w:val="001B1B36"/>
    <w:rsid w:val="001D25DD"/>
    <w:rsid w:val="00347260"/>
    <w:rsid w:val="00556EAE"/>
    <w:rsid w:val="005777D1"/>
    <w:rsid w:val="006545B3"/>
    <w:rsid w:val="0071288E"/>
    <w:rsid w:val="007379D8"/>
    <w:rsid w:val="008968C1"/>
    <w:rsid w:val="00AC0DEC"/>
    <w:rsid w:val="00BE7649"/>
    <w:rsid w:val="00C0045A"/>
    <w:rsid w:val="00D8333B"/>
    <w:rsid w:val="00DA1C6D"/>
    <w:rsid w:val="00EC5B0A"/>
    <w:rsid w:val="BF7FF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Calibri" w:hAnsi="Calibri" w:cs="Times New Roman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Calibri" w:hAnsi="Calibri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4">
      <a:majorFont>
        <a:latin typeface="Arial"/>
        <a:ea typeface="仿宋_GB2312"/>
        <a:cs typeface=""/>
      </a:majorFont>
      <a:minorFont>
        <a:latin typeface="Arial"/>
        <a:ea typeface="仿宋_GB2312"/>
        <a:cs typeface="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853</Characters>
  <Lines>7</Lines>
  <Paragraphs>1</Paragraphs>
  <TotalTime>3</TotalTime>
  <ScaleCrop>false</ScaleCrop>
  <LinksUpToDate>false</LinksUpToDate>
  <CharactersWithSpaces>1001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2023-07-20T16:49:00Z</dcterms:created>
  <dc:creator>Lin, Xixiang</dc:creator>
  <cp:lastModifiedBy>scjgj</cp:lastModifiedBy>
  <dcterms:modified xsi:type="dcterms:W3CDTF">2023-07-31T11:15:24Z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