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ind w:left="0" w:leftChars="0" w:firstLine="0" w:firstLineChars="0"/>
        <w:rPr>
          <w:rFonts w:hint="eastAsia" w:ascii="黑体" w:hAnsi="黑体" w:eastAsia="黑体" w:cs="黑体"/>
          <w:bCs/>
          <w:kern w:val="0"/>
          <w:sz w:val="36"/>
          <w:szCs w:val="36"/>
          <w:lang w:val="en-GB" w:bidi="ar-AE"/>
        </w:rPr>
      </w:pPr>
      <w:r>
        <w:rPr>
          <w:rFonts w:hint="eastAsia" w:ascii="Times New Roman" w:hAnsi="Times New Roman" w:eastAsia="仿宋_GB2312" w:cs="Times New Roman"/>
          <w:bCs w:val="0"/>
          <w:color w:val="000000"/>
          <w:kern w:val="2"/>
          <w:sz w:val="32"/>
          <w:szCs w:val="32"/>
          <w:lang w:val="en-US" w:eastAsia="zh-CN" w:bidi="ar-SA"/>
        </w:rPr>
        <w:t>附件</w:t>
      </w:r>
      <w:r>
        <w:rPr>
          <w:rFonts w:hint="eastAsia" w:eastAsia="仿宋_GB2312" w:cs="Times New Roman"/>
          <w:bCs w:val="0"/>
          <w:color w:val="000000"/>
          <w:kern w:val="2"/>
          <w:sz w:val="32"/>
          <w:szCs w:val="32"/>
          <w:lang w:val="en-US" w:eastAsia="zh-CN" w:bidi="ar-SA"/>
        </w:rPr>
        <w:t>3</w:t>
      </w:r>
    </w:p>
    <w:p>
      <w:pPr>
        <w:widowControl/>
        <w:spacing w:after="240" w:line="240" w:lineRule="auto"/>
        <w:jc w:val="center"/>
        <w:rPr>
          <w:rFonts w:ascii="黑体" w:hAnsi="Times New Roman"/>
          <w:sz w:val="28"/>
          <w:szCs w:val="28"/>
        </w:rPr>
      </w:pPr>
      <w:r>
        <w:rPr>
          <w:rFonts w:hint="eastAsia" w:ascii="黑体" w:hAnsi="黑体" w:eastAsia="黑体" w:cs="黑体"/>
          <w:bCs/>
          <w:kern w:val="0"/>
          <w:sz w:val="36"/>
          <w:szCs w:val="36"/>
          <w:lang w:val="en-GB" w:bidi="ar-AE"/>
        </w:rPr>
        <w:t>经营者集中简易案件公示表</w:t>
      </w:r>
    </w:p>
    <w:tbl>
      <w:tblPr>
        <w:tblStyle w:val="5"/>
        <w:tblW w:w="87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9"/>
        <w:gridCol w:w="1796"/>
        <w:gridCol w:w="51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2" w:hRule="atLeast"/>
        </w:trPr>
        <w:tc>
          <w:tcPr>
            <w:tcW w:w="1809" w:type="dxa"/>
            <w:shd w:val="clear" w:color="auto" w:fill="D9D9D9"/>
            <w:vAlign w:val="center"/>
          </w:tcPr>
          <w:p>
            <w:pPr>
              <w:pStyle w:val="3"/>
              <w:jc w:val="center"/>
              <w:rPr>
                <w:rFonts w:hint="eastAsia" w:ascii="宋体" w:hAnsi="宋体"/>
                <w:sz w:val="24"/>
                <w:szCs w:val="24"/>
                <w:lang w:val="en-GB"/>
              </w:rPr>
            </w:pPr>
            <w:r>
              <w:rPr>
                <w:rFonts w:hint="eastAsia" w:ascii="宋体" w:hAnsi="宋体"/>
                <w:sz w:val="24"/>
                <w:szCs w:val="24"/>
                <w:lang w:val="en-GB"/>
              </w:rPr>
              <w:t>案件名称</w:t>
            </w:r>
          </w:p>
        </w:tc>
        <w:tc>
          <w:tcPr>
            <w:tcW w:w="6949" w:type="dxa"/>
            <w:gridSpan w:val="2"/>
            <w:vAlign w:val="center"/>
          </w:tcPr>
          <w:p>
            <w:pPr>
              <w:widowControl/>
              <w:adjustRightInd w:val="0"/>
              <w:snapToGrid w:val="0"/>
              <w:jc w:val="left"/>
              <w:rPr>
                <w:rFonts w:hint="eastAsia" w:ascii="宋体" w:hAnsi="宋体" w:eastAsia="宋体" w:cs="Times New Roman"/>
                <w:kern w:val="2"/>
                <w:sz w:val="24"/>
                <w:szCs w:val="24"/>
                <w:lang w:val="en-GB" w:eastAsia="zh-CN" w:bidi="ar-SA"/>
              </w:rPr>
            </w:pPr>
            <w:r>
              <w:rPr>
                <w:rFonts w:hint="eastAsia" w:ascii="宋体" w:hAnsi="宋体" w:eastAsia="宋体" w:cs="Times New Roman"/>
                <w:kern w:val="2"/>
                <w:sz w:val="24"/>
                <w:szCs w:val="24"/>
                <w:lang w:val="en-GB" w:eastAsia="zh-CN" w:bidi="ar-SA"/>
              </w:rPr>
              <w:t>江门市交通建设投资集团有限公司与广东电网能源投资有限公司等经营者新设合营企业案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3" w:hRule="atLeast"/>
        </w:trPr>
        <w:tc>
          <w:tcPr>
            <w:tcW w:w="1809" w:type="dxa"/>
            <w:shd w:val="clear" w:color="auto" w:fill="D9D9D9"/>
            <w:vAlign w:val="center"/>
          </w:tcPr>
          <w:p>
            <w:pPr>
              <w:pStyle w:val="3"/>
              <w:jc w:val="center"/>
              <w:rPr>
                <w:rFonts w:hint="eastAsia" w:ascii="宋体" w:hAnsi="宋体"/>
                <w:sz w:val="24"/>
                <w:szCs w:val="24"/>
                <w:lang w:val="en-GB"/>
              </w:rPr>
            </w:pPr>
            <w:r>
              <w:rPr>
                <w:rFonts w:hint="eastAsia" w:ascii="宋体" w:hAnsi="宋体"/>
                <w:sz w:val="24"/>
                <w:szCs w:val="24"/>
                <w:lang w:val="en-GB"/>
              </w:rPr>
              <w:t>交易概况</w:t>
            </w:r>
          </w:p>
          <w:p>
            <w:pPr>
              <w:pStyle w:val="3"/>
              <w:jc w:val="center"/>
              <w:rPr>
                <w:rFonts w:hint="eastAsia" w:ascii="宋体" w:hAnsi="宋体"/>
                <w:sz w:val="24"/>
                <w:szCs w:val="24"/>
                <w:lang w:val="en-GB"/>
              </w:rPr>
            </w:pPr>
            <w:r>
              <w:rPr>
                <w:rFonts w:hint="eastAsia" w:ascii="宋体" w:hAnsi="宋体"/>
                <w:sz w:val="24"/>
                <w:szCs w:val="24"/>
                <w:lang w:val="en-GB"/>
              </w:rPr>
              <w:t>（限200字内）</w:t>
            </w:r>
          </w:p>
        </w:tc>
        <w:tc>
          <w:tcPr>
            <w:tcW w:w="6949" w:type="dxa"/>
            <w:gridSpan w:val="2"/>
          </w:tcPr>
          <w:p>
            <w:pPr>
              <w:widowControl/>
              <w:adjustRightInd w:val="0"/>
              <w:snapToGrid w:val="0"/>
              <w:jc w:val="left"/>
              <w:rPr>
                <w:rFonts w:hint="eastAsia" w:ascii="宋体" w:hAnsi="宋体" w:eastAsia="宋体" w:cs="Times New Roman"/>
                <w:kern w:val="2"/>
                <w:sz w:val="24"/>
                <w:szCs w:val="24"/>
                <w:lang w:val="en-GB" w:eastAsia="zh-CN" w:bidi="ar-SA"/>
              </w:rPr>
            </w:pPr>
            <w:r>
              <w:rPr>
                <w:rFonts w:hint="eastAsia" w:ascii="宋体" w:hAnsi="宋体" w:eastAsia="宋体" w:cs="Times New Roman"/>
                <w:kern w:val="2"/>
                <w:sz w:val="24"/>
                <w:szCs w:val="24"/>
                <w:lang w:val="en-GB" w:eastAsia="zh-CN" w:bidi="ar-SA"/>
              </w:rPr>
              <w:t>2023年6月，江门市交通建设投资集团有限公司（“交建集团”）与广东电网能源投资有限公司（“能源投资公司”）、江门市江顺电力服务有限责任公司（“江顺公司”）签订股东合作协议，拟在广东省江门市设立一家合营企业，主要从事绿色电力交易经纪服务、绿色电力证书交易代理服务和碳资产管理服务。交易后，交建集团、能源投资公司和江顺公司将分别持有合营企业36%、34%和30%的股权，交建集团、能源投资公司和江顺公司共同控制合营企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1809" w:type="dxa"/>
            <w:vMerge w:val="restart"/>
            <w:shd w:val="clear" w:color="auto" w:fill="D9D9D9"/>
            <w:vAlign w:val="center"/>
          </w:tcPr>
          <w:p>
            <w:pPr>
              <w:pStyle w:val="3"/>
              <w:jc w:val="center"/>
              <w:rPr>
                <w:rFonts w:hint="eastAsia" w:ascii="宋体" w:hAnsi="宋体"/>
                <w:sz w:val="24"/>
                <w:szCs w:val="24"/>
                <w:lang w:val="en-GB"/>
              </w:rPr>
            </w:pPr>
            <w:r>
              <w:rPr>
                <w:rFonts w:hint="eastAsia" w:ascii="宋体" w:hAnsi="宋体"/>
                <w:sz w:val="24"/>
                <w:szCs w:val="24"/>
                <w:lang w:val="en-GB"/>
              </w:rPr>
              <w:t>参与集中的</w:t>
            </w:r>
          </w:p>
          <w:p>
            <w:pPr>
              <w:pStyle w:val="3"/>
              <w:jc w:val="center"/>
              <w:rPr>
                <w:rFonts w:hint="eastAsia" w:ascii="宋体" w:hAnsi="宋体"/>
                <w:sz w:val="24"/>
                <w:szCs w:val="24"/>
                <w:lang w:val="en-GB"/>
              </w:rPr>
            </w:pPr>
            <w:r>
              <w:rPr>
                <w:rFonts w:hint="eastAsia" w:ascii="宋体" w:hAnsi="宋体"/>
                <w:sz w:val="24"/>
                <w:szCs w:val="24"/>
                <w:lang w:val="en-GB"/>
              </w:rPr>
              <w:t>经营者简介</w:t>
            </w:r>
          </w:p>
        </w:tc>
        <w:tc>
          <w:tcPr>
            <w:tcW w:w="1796" w:type="dxa"/>
            <w:vAlign w:val="center"/>
          </w:tcPr>
          <w:p>
            <w:pPr>
              <w:widowControl/>
              <w:adjustRightInd w:val="0"/>
              <w:snapToGrid w:val="0"/>
              <w:jc w:val="left"/>
              <w:rPr>
                <w:rFonts w:hint="eastAsia" w:ascii="宋体" w:hAnsi="宋体" w:eastAsia="宋体" w:cs="Times New Roman"/>
                <w:kern w:val="2"/>
                <w:sz w:val="24"/>
                <w:szCs w:val="24"/>
                <w:lang w:val="en-GB" w:eastAsia="zh-CN" w:bidi="ar-SA"/>
              </w:rPr>
            </w:pPr>
            <w:r>
              <w:rPr>
                <w:rFonts w:hint="eastAsia" w:ascii="宋体" w:hAnsi="宋体" w:eastAsia="宋体" w:cs="Times New Roman"/>
                <w:kern w:val="2"/>
                <w:sz w:val="24"/>
                <w:szCs w:val="24"/>
                <w:lang w:val="en-GB" w:eastAsia="zh-CN" w:bidi="ar-SA"/>
              </w:rPr>
              <w:t>1、交建集团</w:t>
            </w:r>
          </w:p>
        </w:tc>
        <w:tc>
          <w:tcPr>
            <w:tcW w:w="5153" w:type="dxa"/>
          </w:tcPr>
          <w:p>
            <w:pPr>
              <w:widowControl/>
              <w:adjustRightInd w:val="0"/>
              <w:snapToGrid w:val="0"/>
              <w:jc w:val="left"/>
              <w:rPr>
                <w:rFonts w:hint="eastAsia" w:ascii="宋体" w:hAnsi="宋体" w:eastAsia="宋体" w:cs="Times New Roman"/>
                <w:kern w:val="2"/>
                <w:sz w:val="24"/>
                <w:szCs w:val="24"/>
                <w:lang w:val="en-GB" w:eastAsia="zh-CN" w:bidi="ar-SA"/>
              </w:rPr>
            </w:pPr>
            <w:r>
              <w:rPr>
                <w:rFonts w:hint="eastAsia" w:ascii="宋体" w:hAnsi="宋体" w:eastAsia="宋体" w:cs="Times New Roman"/>
                <w:kern w:val="2"/>
                <w:sz w:val="24"/>
                <w:szCs w:val="24"/>
                <w:lang w:val="en-GB" w:eastAsia="zh-CN" w:bidi="ar-SA"/>
              </w:rPr>
              <w:t>交建集团于2001年1月20日成立于中国广东省江门市，主要业务为基建投资、工程建设、勘察设计。 </w:t>
            </w:r>
          </w:p>
          <w:p>
            <w:pPr>
              <w:widowControl/>
              <w:adjustRightInd w:val="0"/>
              <w:snapToGrid w:val="0"/>
              <w:jc w:val="left"/>
              <w:rPr>
                <w:rFonts w:hint="eastAsia" w:ascii="宋体" w:hAnsi="宋体" w:eastAsia="宋体" w:cs="Times New Roman"/>
                <w:kern w:val="2"/>
                <w:sz w:val="24"/>
                <w:szCs w:val="24"/>
                <w:lang w:val="en-GB" w:eastAsia="zh-CN" w:bidi="ar-SA"/>
              </w:rPr>
            </w:pPr>
            <w:r>
              <w:rPr>
                <w:rFonts w:hint="eastAsia" w:ascii="宋体" w:hAnsi="宋体" w:eastAsia="宋体" w:cs="Times New Roman"/>
                <w:kern w:val="2"/>
                <w:sz w:val="24"/>
                <w:szCs w:val="24"/>
                <w:lang w:val="en-GB" w:eastAsia="zh-CN" w:bidi="ar-SA"/>
              </w:rPr>
              <w:t xml:space="preserve">交建集团的最终控制人为江门市城市发展投资集团有限公司，主要从事城市开发、园区建设、工业制造和信息科技产业、粮油贸易、金融资本投资、文旅交通产业。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1809" w:type="dxa"/>
            <w:vMerge w:val="continue"/>
            <w:shd w:val="clear" w:color="auto" w:fill="D9D9D9"/>
            <w:vAlign w:val="center"/>
          </w:tcPr>
          <w:p>
            <w:pPr>
              <w:pStyle w:val="3"/>
              <w:jc w:val="center"/>
              <w:rPr>
                <w:rFonts w:hint="eastAsia" w:ascii="宋体" w:hAnsi="宋体"/>
                <w:sz w:val="24"/>
                <w:szCs w:val="24"/>
                <w:lang w:val="en-GB"/>
              </w:rPr>
            </w:pPr>
          </w:p>
        </w:tc>
        <w:tc>
          <w:tcPr>
            <w:tcW w:w="1796" w:type="dxa"/>
            <w:vAlign w:val="center"/>
          </w:tcPr>
          <w:p>
            <w:pPr>
              <w:widowControl/>
              <w:adjustRightInd w:val="0"/>
              <w:snapToGrid w:val="0"/>
              <w:jc w:val="left"/>
              <w:rPr>
                <w:rFonts w:hint="eastAsia" w:ascii="宋体" w:hAnsi="宋体" w:eastAsia="宋体" w:cs="Times New Roman"/>
                <w:kern w:val="2"/>
                <w:sz w:val="24"/>
                <w:szCs w:val="24"/>
                <w:lang w:val="en-GB" w:eastAsia="zh-CN" w:bidi="ar-SA"/>
              </w:rPr>
            </w:pPr>
            <w:r>
              <w:rPr>
                <w:rFonts w:hint="eastAsia" w:ascii="宋体" w:hAnsi="宋体" w:cs="Times New Roman"/>
                <w:kern w:val="2"/>
                <w:sz w:val="24"/>
                <w:szCs w:val="24"/>
                <w:lang w:val="en-US" w:eastAsia="zh-CN" w:bidi="ar-SA"/>
              </w:rPr>
              <w:t>2、</w:t>
            </w:r>
            <w:r>
              <w:rPr>
                <w:rFonts w:hint="eastAsia" w:ascii="宋体" w:hAnsi="宋体" w:eastAsia="宋体" w:cs="Times New Roman"/>
                <w:kern w:val="2"/>
                <w:sz w:val="24"/>
                <w:szCs w:val="24"/>
                <w:lang w:val="en-GB" w:eastAsia="zh-CN" w:bidi="ar-SA"/>
              </w:rPr>
              <w:t>能源投资公司</w:t>
            </w:r>
          </w:p>
        </w:tc>
        <w:tc>
          <w:tcPr>
            <w:tcW w:w="5153" w:type="dxa"/>
          </w:tcPr>
          <w:p>
            <w:pPr>
              <w:widowControl/>
              <w:adjustRightInd w:val="0"/>
              <w:snapToGrid w:val="0"/>
              <w:jc w:val="left"/>
              <w:rPr>
                <w:rFonts w:hint="eastAsia" w:ascii="宋体" w:hAnsi="宋体" w:eastAsia="宋体" w:cs="Times New Roman"/>
                <w:kern w:val="2"/>
                <w:sz w:val="24"/>
                <w:szCs w:val="24"/>
                <w:lang w:val="en-GB" w:eastAsia="zh-CN" w:bidi="ar-SA"/>
              </w:rPr>
            </w:pPr>
            <w:r>
              <w:rPr>
                <w:rFonts w:hint="eastAsia" w:ascii="宋体" w:hAnsi="宋体" w:eastAsia="宋体" w:cs="Times New Roman"/>
                <w:kern w:val="2"/>
                <w:sz w:val="24"/>
                <w:szCs w:val="24"/>
                <w:lang w:val="en-GB" w:eastAsia="zh-CN" w:bidi="ar-SA"/>
              </w:rPr>
              <w:t>能源投资公司于1995年1月9日成立于中国广东省广州市，主要业务为电动汽车及其充电设施的投资与运营；储能项目投资及运营等。 </w:t>
            </w:r>
          </w:p>
          <w:p>
            <w:pPr>
              <w:widowControl/>
              <w:adjustRightInd w:val="0"/>
              <w:snapToGrid w:val="0"/>
              <w:jc w:val="left"/>
              <w:rPr>
                <w:rFonts w:hint="eastAsia" w:ascii="宋体" w:hAnsi="宋体" w:eastAsia="宋体" w:cs="Times New Roman"/>
                <w:kern w:val="2"/>
                <w:sz w:val="24"/>
                <w:szCs w:val="24"/>
                <w:lang w:val="en-GB" w:eastAsia="zh-CN" w:bidi="ar-SA"/>
              </w:rPr>
            </w:pPr>
            <w:r>
              <w:rPr>
                <w:rFonts w:hint="eastAsia" w:ascii="宋体" w:hAnsi="宋体" w:eastAsia="宋体" w:cs="Times New Roman"/>
                <w:kern w:val="2"/>
                <w:sz w:val="24"/>
                <w:szCs w:val="24"/>
                <w:lang w:val="en-GB" w:eastAsia="zh-CN" w:bidi="ar-SA"/>
              </w:rPr>
              <w:t>能源投资公司最终控制人为中国南方电网有限责任公司，主要从事南方五省区电力供应、区域电网管理、电力交易与调度业务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1809" w:type="dxa"/>
            <w:vMerge w:val="continue"/>
            <w:shd w:val="clear" w:color="auto" w:fill="D9D9D9"/>
            <w:vAlign w:val="center"/>
          </w:tcPr>
          <w:p>
            <w:pPr>
              <w:pStyle w:val="3"/>
              <w:jc w:val="center"/>
              <w:rPr>
                <w:rFonts w:hint="eastAsia" w:ascii="宋体" w:hAnsi="宋体"/>
                <w:sz w:val="24"/>
                <w:szCs w:val="24"/>
                <w:lang w:val="en-GB"/>
              </w:rPr>
            </w:pPr>
          </w:p>
        </w:tc>
        <w:tc>
          <w:tcPr>
            <w:tcW w:w="1796" w:type="dxa"/>
            <w:vAlign w:val="center"/>
          </w:tcPr>
          <w:p>
            <w:pPr>
              <w:widowControl/>
              <w:adjustRightInd w:val="0"/>
              <w:snapToGrid w:val="0"/>
              <w:jc w:val="left"/>
              <w:rPr>
                <w:rFonts w:hint="eastAsia" w:ascii="宋体" w:hAnsi="宋体" w:eastAsia="宋体" w:cs="Times New Roman"/>
                <w:kern w:val="2"/>
                <w:sz w:val="24"/>
                <w:szCs w:val="24"/>
                <w:lang w:val="en-GB" w:eastAsia="zh-CN" w:bidi="ar-SA"/>
              </w:rPr>
            </w:pPr>
            <w:r>
              <w:rPr>
                <w:rFonts w:hint="eastAsia" w:ascii="宋体" w:hAnsi="宋体" w:cs="Times New Roman"/>
                <w:kern w:val="2"/>
                <w:sz w:val="24"/>
                <w:szCs w:val="24"/>
                <w:lang w:val="en-US" w:eastAsia="zh-CN" w:bidi="ar-SA"/>
              </w:rPr>
              <w:t>3</w:t>
            </w:r>
            <w:r>
              <w:rPr>
                <w:rFonts w:hint="eastAsia" w:ascii="宋体" w:hAnsi="宋体" w:eastAsia="宋体" w:cs="Times New Roman"/>
                <w:kern w:val="2"/>
                <w:sz w:val="24"/>
                <w:szCs w:val="24"/>
                <w:lang w:val="en-GB" w:eastAsia="zh-CN" w:bidi="ar-SA"/>
              </w:rPr>
              <w:t>、江顺公司</w:t>
            </w:r>
          </w:p>
        </w:tc>
        <w:tc>
          <w:tcPr>
            <w:tcW w:w="5153" w:type="dxa"/>
          </w:tcPr>
          <w:p>
            <w:pPr>
              <w:widowControl/>
              <w:adjustRightInd w:val="0"/>
              <w:snapToGrid w:val="0"/>
              <w:jc w:val="left"/>
              <w:rPr>
                <w:rFonts w:hint="eastAsia" w:ascii="宋体" w:hAnsi="宋体" w:eastAsia="宋体" w:cs="Times New Roman"/>
                <w:kern w:val="2"/>
                <w:sz w:val="24"/>
                <w:szCs w:val="24"/>
                <w:lang w:val="en-GB" w:eastAsia="zh-CN" w:bidi="ar-SA"/>
              </w:rPr>
            </w:pPr>
            <w:r>
              <w:rPr>
                <w:rFonts w:hint="eastAsia" w:ascii="宋体" w:hAnsi="宋体" w:eastAsia="宋体" w:cs="Times New Roman"/>
                <w:kern w:val="2"/>
                <w:sz w:val="24"/>
                <w:szCs w:val="24"/>
                <w:lang w:val="en-GB" w:eastAsia="zh-CN" w:bidi="ar-SA"/>
              </w:rPr>
              <w:t>江顺公司于1997年5月6日成立于中国广东省江门市，主要业务为综合能源服务、电网工程设计施工监理、信息通信、科技、电力综合服务。 </w:t>
            </w:r>
          </w:p>
          <w:p>
            <w:pPr>
              <w:widowControl/>
              <w:adjustRightInd w:val="0"/>
              <w:snapToGrid w:val="0"/>
              <w:jc w:val="left"/>
              <w:rPr>
                <w:rFonts w:hint="eastAsia" w:ascii="宋体" w:hAnsi="宋体" w:eastAsia="宋体" w:cs="Times New Roman"/>
                <w:kern w:val="2"/>
                <w:sz w:val="24"/>
                <w:szCs w:val="24"/>
                <w:lang w:val="en-GB" w:eastAsia="zh-CN" w:bidi="ar-SA"/>
              </w:rPr>
            </w:pPr>
            <w:r>
              <w:rPr>
                <w:rFonts w:hint="eastAsia" w:ascii="宋体" w:hAnsi="宋体" w:eastAsia="宋体" w:cs="Times New Roman"/>
                <w:kern w:val="2"/>
                <w:sz w:val="24"/>
                <w:szCs w:val="24"/>
                <w:lang w:val="en-GB" w:eastAsia="zh-CN" w:bidi="ar-SA"/>
              </w:rPr>
              <w:t>江顺公司最终控制人为中国南方电网有限责任公司，主要从事南方五省区电力供应、区域电网管理、电力交易与调度业务。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809" w:type="dxa"/>
            <w:vMerge w:val="restart"/>
            <w:shd w:val="clear" w:color="auto" w:fill="D9D9D9"/>
            <w:vAlign w:val="center"/>
          </w:tcPr>
          <w:p>
            <w:pPr>
              <w:pStyle w:val="3"/>
              <w:jc w:val="center"/>
              <w:rPr>
                <w:rFonts w:hint="eastAsia" w:ascii="宋体" w:hAnsi="宋体"/>
                <w:sz w:val="24"/>
                <w:szCs w:val="24"/>
                <w:lang w:val="en-GB"/>
              </w:rPr>
            </w:pPr>
            <w:r>
              <w:rPr>
                <w:rFonts w:hint="eastAsia" w:ascii="宋体" w:hAnsi="宋体"/>
                <w:sz w:val="24"/>
                <w:szCs w:val="24"/>
                <w:lang w:val="en-GB"/>
              </w:rPr>
              <w:t>简易案件理由（可以单选，也可以多选）</w:t>
            </w:r>
          </w:p>
        </w:tc>
        <w:tc>
          <w:tcPr>
            <w:tcW w:w="6949" w:type="dxa"/>
            <w:gridSpan w:val="2"/>
          </w:tcPr>
          <w:p>
            <w:pPr>
              <w:widowControl/>
              <w:adjustRightInd w:val="0"/>
              <w:snapToGrid w:val="0"/>
              <w:jc w:val="left"/>
              <w:rPr>
                <w:rFonts w:hint="eastAsia" w:ascii="宋体" w:hAnsi="宋体" w:eastAsia="宋体" w:cs="Times New Roman"/>
                <w:kern w:val="2"/>
                <w:sz w:val="24"/>
                <w:szCs w:val="24"/>
                <w:lang w:val="en-GB" w:eastAsia="zh-CN" w:bidi="ar-SA"/>
              </w:rPr>
            </w:pPr>
            <w:r>
              <w:rPr>
                <w:rFonts w:hint="eastAsia" w:ascii="宋体" w:hAnsi="宋体" w:cs="Times New Roman"/>
                <w:kern w:val="2"/>
                <w:sz w:val="24"/>
                <w:szCs w:val="24"/>
                <w:lang w:val="en-GB" w:eastAsia="zh-CN" w:bidi="ar-SA"/>
              </w:rPr>
              <w:t>□</w:t>
            </w:r>
            <w:r>
              <w:rPr>
                <w:rFonts w:hint="eastAsia" w:ascii="宋体" w:hAnsi="宋体" w:eastAsia="宋体" w:cs="Times New Roman"/>
                <w:kern w:val="2"/>
                <w:sz w:val="24"/>
                <w:szCs w:val="24"/>
                <w:lang w:val="en-GB" w:eastAsia="zh-CN" w:bidi="ar-SA"/>
              </w:rPr>
              <w:t>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809" w:type="dxa"/>
            <w:vMerge w:val="continue"/>
            <w:shd w:val="clear" w:color="auto" w:fill="D9D9D9"/>
            <w:vAlign w:val="center"/>
          </w:tcPr>
          <w:p>
            <w:pPr>
              <w:pStyle w:val="3"/>
              <w:jc w:val="center"/>
              <w:rPr>
                <w:rFonts w:hint="eastAsia" w:ascii="宋体" w:hAnsi="宋体"/>
                <w:sz w:val="24"/>
                <w:szCs w:val="24"/>
                <w:lang w:val="en-GB"/>
              </w:rPr>
            </w:pPr>
          </w:p>
        </w:tc>
        <w:tc>
          <w:tcPr>
            <w:tcW w:w="6949" w:type="dxa"/>
            <w:gridSpan w:val="2"/>
          </w:tcPr>
          <w:p>
            <w:pPr>
              <w:widowControl/>
              <w:adjustRightInd w:val="0"/>
              <w:snapToGrid w:val="0"/>
              <w:jc w:val="left"/>
              <w:rPr>
                <w:rFonts w:hint="eastAsia" w:ascii="宋体" w:hAnsi="宋体" w:eastAsia="宋体" w:cs="Times New Roman"/>
                <w:kern w:val="2"/>
                <w:sz w:val="24"/>
                <w:szCs w:val="24"/>
                <w:lang w:val="en-GB" w:eastAsia="zh-CN" w:bidi="ar-SA"/>
              </w:rPr>
            </w:pPr>
            <w:r>
              <w:rPr>
                <w:rFonts w:hint="eastAsia" w:ascii="宋体" w:hAnsi="宋体" w:eastAsia="宋体" w:cs="Times New Roman"/>
                <w:kern w:val="2"/>
                <w:sz w:val="24"/>
                <w:szCs w:val="24"/>
                <w:lang w:val="en-GB" w:eastAsia="zh-CN" w:bidi="ar-SA"/>
              </w:rPr>
              <w:sym w:font="Wingdings" w:char="00A8"/>
            </w:r>
            <w:r>
              <w:rPr>
                <w:rFonts w:hint="eastAsia" w:ascii="宋体" w:hAnsi="宋体" w:eastAsia="宋体" w:cs="Times New Roman"/>
                <w:kern w:val="2"/>
                <w:sz w:val="24"/>
                <w:szCs w:val="24"/>
                <w:lang w:val="en-GB" w:eastAsia="zh-CN" w:bidi="ar-SA"/>
              </w:rPr>
              <w:t>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809" w:type="dxa"/>
            <w:vMerge w:val="continue"/>
            <w:shd w:val="clear" w:color="auto" w:fill="D9D9D9"/>
            <w:vAlign w:val="center"/>
          </w:tcPr>
          <w:p>
            <w:pPr>
              <w:pStyle w:val="3"/>
              <w:jc w:val="center"/>
              <w:rPr>
                <w:rFonts w:hint="eastAsia" w:ascii="宋体" w:hAnsi="宋体"/>
                <w:sz w:val="24"/>
                <w:szCs w:val="24"/>
                <w:lang w:val="en-GB"/>
              </w:rPr>
            </w:pPr>
          </w:p>
        </w:tc>
        <w:tc>
          <w:tcPr>
            <w:tcW w:w="6949" w:type="dxa"/>
            <w:gridSpan w:val="2"/>
          </w:tcPr>
          <w:p>
            <w:pPr>
              <w:widowControl/>
              <w:adjustRightInd w:val="0"/>
              <w:snapToGrid w:val="0"/>
              <w:jc w:val="left"/>
              <w:rPr>
                <w:rFonts w:hint="eastAsia" w:ascii="宋体" w:hAnsi="宋体" w:eastAsia="宋体" w:cs="Times New Roman"/>
                <w:kern w:val="2"/>
                <w:sz w:val="24"/>
                <w:szCs w:val="24"/>
                <w:lang w:val="en-GB" w:eastAsia="zh-CN" w:bidi="ar-SA"/>
              </w:rPr>
            </w:pPr>
            <w:r>
              <w:rPr>
                <w:rFonts w:hint="eastAsia" w:ascii="宋体" w:hAnsi="宋体" w:eastAsia="宋体" w:cs="Times New Roman"/>
                <w:kern w:val="2"/>
                <w:sz w:val="24"/>
                <w:szCs w:val="24"/>
                <w:lang w:val="en-GB" w:eastAsia="zh-CN" w:bidi="ar-SA"/>
              </w:rPr>
              <w:sym w:font="Wingdings" w:char="00FE"/>
            </w:r>
            <w:r>
              <w:rPr>
                <w:rFonts w:hint="eastAsia" w:ascii="宋体" w:hAnsi="宋体" w:eastAsia="宋体" w:cs="Times New Roman"/>
                <w:kern w:val="2"/>
                <w:sz w:val="24"/>
                <w:szCs w:val="24"/>
                <w:lang w:val="en-GB" w:eastAsia="zh-CN" w:bidi="ar-SA"/>
              </w:rPr>
              <w:t>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1809" w:type="dxa"/>
            <w:vMerge w:val="continue"/>
            <w:shd w:val="clear" w:color="auto" w:fill="D9D9D9"/>
            <w:vAlign w:val="center"/>
          </w:tcPr>
          <w:p>
            <w:pPr>
              <w:pStyle w:val="3"/>
              <w:jc w:val="center"/>
              <w:rPr>
                <w:rFonts w:hint="eastAsia" w:ascii="宋体" w:hAnsi="宋体"/>
                <w:sz w:val="24"/>
                <w:szCs w:val="24"/>
                <w:lang w:val="en-GB"/>
              </w:rPr>
            </w:pPr>
          </w:p>
        </w:tc>
        <w:tc>
          <w:tcPr>
            <w:tcW w:w="6949" w:type="dxa"/>
            <w:gridSpan w:val="2"/>
          </w:tcPr>
          <w:p>
            <w:pPr>
              <w:widowControl/>
              <w:adjustRightInd w:val="0"/>
              <w:snapToGrid w:val="0"/>
              <w:jc w:val="left"/>
              <w:rPr>
                <w:rFonts w:hint="eastAsia" w:ascii="宋体" w:hAnsi="宋体" w:eastAsia="宋体" w:cs="Times New Roman"/>
                <w:kern w:val="2"/>
                <w:sz w:val="24"/>
                <w:szCs w:val="24"/>
                <w:lang w:val="en-GB" w:eastAsia="zh-CN" w:bidi="ar-SA"/>
              </w:rPr>
            </w:pPr>
            <w:r>
              <w:rPr>
                <w:rFonts w:hint="eastAsia" w:ascii="宋体" w:hAnsi="宋体" w:eastAsia="宋体" w:cs="Times New Roman"/>
                <w:kern w:val="2"/>
                <w:sz w:val="24"/>
                <w:szCs w:val="24"/>
                <w:lang w:val="en-GB" w:eastAsia="zh-CN" w:bidi="ar-SA"/>
              </w:rPr>
              <w:t>□4.参与集中的经营者在中国境外设立合营企业，合营企业不在中国境内从事经济活动。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809" w:type="dxa"/>
            <w:vMerge w:val="continue"/>
            <w:shd w:val="clear" w:color="auto" w:fill="D9D9D9"/>
            <w:vAlign w:val="center"/>
          </w:tcPr>
          <w:p>
            <w:pPr>
              <w:pStyle w:val="3"/>
              <w:jc w:val="center"/>
              <w:rPr>
                <w:rFonts w:hint="eastAsia" w:ascii="宋体" w:hAnsi="宋体"/>
                <w:sz w:val="24"/>
                <w:szCs w:val="24"/>
                <w:lang w:val="en-GB"/>
              </w:rPr>
            </w:pPr>
          </w:p>
        </w:tc>
        <w:tc>
          <w:tcPr>
            <w:tcW w:w="6949" w:type="dxa"/>
            <w:gridSpan w:val="2"/>
          </w:tcPr>
          <w:p>
            <w:pPr>
              <w:widowControl/>
              <w:adjustRightInd w:val="0"/>
              <w:snapToGrid w:val="0"/>
              <w:jc w:val="left"/>
              <w:rPr>
                <w:rFonts w:hint="eastAsia" w:ascii="宋体" w:hAnsi="宋体" w:eastAsia="宋体" w:cs="Times New Roman"/>
                <w:kern w:val="2"/>
                <w:sz w:val="24"/>
                <w:szCs w:val="24"/>
                <w:lang w:val="en-GB" w:eastAsia="zh-CN" w:bidi="ar-SA"/>
              </w:rPr>
            </w:pPr>
            <w:r>
              <w:rPr>
                <w:rFonts w:hint="eastAsia" w:ascii="宋体" w:hAnsi="宋体" w:eastAsia="宋体" w:cs="Times New Roman"/>
                <w:kern w:val="2"/>
                <w:sz w:val="24"/>
                <w:szCs w:val="24"/>
                <w:lang w:val="en-GB" w:eastAsia="zh-CN" w:bidi="ar-SA"/>
              </w:rPr>
              <w:t>□5.参与集中的经营者收购境外企业股权或资产的，该境外企业不在中国境内从事经济活动。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809" w:type="dxa"/>
            <w:vMerge w:val="continue"/>
            <w:shd w:val="clear" w:color="auto" w:fill="D9D9D9"/>
            <w:vAlign w:val="center"/>
          </w:tcPr>
          <w:p>
            <w:pPr>
              <w:pStyle w:val="3"/>
              <w:jc w:val="center"/>
              <w:rPr>
                <w:rFonts w:hint="eastAsia" w:ascii="宋体" w:hAnsi="宋体"/>
                <w:sz w:val="24"/>
                <w:szCs w:val="24"/>
                <w:lang w:val="en-GB"/>
              </w:rPr>
            </w:pPr>
          </w:p>
        </w:tc>
        <w:tc>
          <w:tcPr>
            <w:tcW w:w="6949" w:type="dxa"/>
            <w:gridSpan w:val="2"/>
          </w:tcPr>
          <w:p>
            <w:pPr>
              <w:widowControl/>
              <w:adjustRightInd w:val="0"/>
              <w:snapToGrid w:val="0"/>
              <w:jc w:val="left"/>
              <w:rPr>
                <w:rFonts w:hint="eastAsia" w:ascii="宋体" w:hAnsi="宋体" w:eastAsia="宋体" w:cs="Times New Roman"/>
                <w:kern w:val="2"/>
                <w:sz w:val="24"/>
                <w:szCs w:val="24"/>
                <w:lang w:val="en-GB" w:eastAsia="zh-CN" w:bidi="ar-SA"/>
              </w:rPr>
            </w:pPr>
            <w:r>
              <w:rPr>
                <w:rFonts w:hint="eastAsia" w:ascii="宋体" w:hAnsi="宋体" w:eastAsia="宋体" w:cs="Times New Roman"/>
                <w:kern w:val="2"/>
                <w:sz w:val="24"/>
                <w:szCs w:val="24"/>
                <w:lang w:val="en-GB" w:eastAsia="zh-CN" w:bidi="ar-SA"/>
              </w:rPr>
              <w:sym w:font="Wingdings 2" w:char="00A3"/>
            </w:r>
            <w:r>
              <w:rPr>
                <w:rFonts w:hint="eastAsia" w:ascii="宋体" w:hAnsi="宋体" w:eastAsia="宋体" w:cs="Times New Roman"/>
                <w:kern w:val="2"/>
                <w:sz w:val="24"/>
                <w:szCs w:val="24"/>
                <w:lang w:val="en-GB" w:eastAsia="zh-CN" w:bidi="ar-SA"/>
              </w:rPr>
              <w:t>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shd w:val="clear" w:color="auto" w:fill="D9D9D9"/>
            <w:vAlign w:val="center"/>
          </w:tcPr>
          <w:p>
            <w:pPr>
              <w:pStyle w:val="3"/>
              <w:jc w:val="center"/>
              <w:rPr>
                <w:rFonts w:hint="eastAsia" w:ascii="宋体" w:hAnsi="宋体"/>
                <w:sz w:val="24"/>
                <w:szCs w:val="24"/>
                <w:lang w:val="en-GB"/>
              </w:rPr>
            </w:pPr>
            <w:r>
              <w:rPr>
                <w:rFonts w:hint="eastAsia" w:ascii="宋体" w:hAnsi="宋体"/>
                <w:sz w:val="24"/>
                <w:szCs w:val="24"/>
                <w:lang w:val="en-GB"/>
              </w:rPr>
              <w:t>备注</w:t>
            </w:r>
          </w:p>
        </w:tc>
        <w:tc>
          <w:tcPr>
            <w:tcW w:w="6949" w:type="dxa"/>
            <w:gridSpan w:val="2"/>
          </w:tcPr>
          <w:p>
            <w:pPr>
              <w:adjustRightInd w:val="0"/>
              <w:snapToGrid w:val="0"/>
              <w:rPr>
                <w:rFonts w:hint="eastAsia" w:ascii="宋体" w:hAnsi="宋体" w:eastAsia="宋体" w:cs="宋体"/>
                <w:b/>
                <w:color w:val="000000"/>
                <w:kern w:val="2"/>
                <w:sz w:val="24"/>
                <w:szCs w:val="24"/>
                <w:lang w:val="en-US" w:eastAsia="zh-CN" w:bidi="ar-SA"/>
              </w:rPr>
            </w:pPr>
            <w:r>
              <w:rPr>
                <w:rFonts w:hint="eastAsia" w:ascii="宋体" w:hAnsi="宋体" w:eastAsia="宋体" w:cs="宋体"/>
                <w:b/>
                <w:color w:val="000000"/>
                <w:kern w:val="2"/>
                <w:sz w:val="24"/>
                <w:szCs w:val="24"/>
                <w:lang w:val="en-US" w:eastAsia="zh-CN" w:bidi="ar-SA"/>
              </w:rPr>
              <w:t>混合集中：</w:t>
            </w:r>
          </w:p>
          <w:p>
            <w:pPr>
              <w:widowControl/>
              <w:adjustRightInd w:val="0"/>
              <w:snapToGrid w:val="0"/>
              <w:jc w:val="left"/>
              <w:rPr>
                <w:rFonts w:hint="eastAsia" w:ascii="宋体" w:hAnsi="宋体" w:eastAsia="宋体" w:cs="Times New Roman"/>
                <w:kern w:val="2"/>
                <w:sz w:val="24"/>
                <w:szCs w:val="24"/>
                <w:lang w:val="en-GB" w:eastAsia="zh-CN" w:bidi="ar-SA"/>
              </w:rPr>
            </w:pPr>
            <w:r>
              <w:rPr>
                <w:rFonts w:ascii="宋体" w:hAnsi="宋体" w:cs="宋体"/>
                <w:color w:val="333333"/>
                <w:kern w:val="0"/>
                <w:szCs w:val="21"/>
              </w:rPr>
              <w:t>1</w:t>
            </w:r>
            <w:r>
              <w:rPr>
                <w:rFonts w:hint="eastAsia" w:ascii="宋体" w:hAnsi="宋体" w:eastAsia="宋体" w:cs="Times New Roman"/>
                <w:kern w:val="2"/>
                <w:sz w:val="24"/>
                <w:szCs w:val="24"/>
                <w:lang w:val="en-GB" w:eastAsia="zh-CN" w:bidi="ar-SA"/>
              </w:rPr>
              <w:t>、2022年中国境内可再生能源发电市场：</w:t>
            </w:r>
          </w:p>
          <w:p>
            <w:pPr>
              <w:widowControl/>
              <w:adjustRightInd w:val="0"/>
              <w:snapToGrid w:val="0"/>
              <w:jc w:val="left"/>
              <w:rPr>
                <w:rFonts w:hint="eastAsia" w:ascii="宋体" w:hAnsi="宋体" w:eastAsia="宋体" w:cs="Times New Roman"/>
                <w:kern w:val="2"/>
                <w:sz w:val="24"/>
                <w:szCs w:val="24"/>
                <w:lang w:val="en-GB" w:eastAsia="zh-CN" w:bidi="ar-SA"/>
              </w:rPr>
            </w:pPr>
            <w:r>
              <w:rPr>
                <w:rFonts w:hint="eastAsia" w:ascii="宋体" w:hAnsi="宋体" w:eastAsia="宋体" w:cs="Times New Roman"/>
                <w:kern w:val="2"/>
                <w:sz w:val="24"/>
                <w:szCs w:val="24"/>
                <w:lang w:val="en-GB" w:eastAsia="zh-CN" w:bidi="ar-SA"/>
              </w:rPr>
              <w:t>能源投资公司关联企业：0-5%</w:t>
            </w:r>
          </w:p>
          <w:p>
            <w:pPr>
              <w:widowControl/>
              <w:adjustRightInd w:val="0"/>
              <w:snapToGrid w:val="0"/>
              <w:jc w:val="left"/>
              <w:rPr>
                <w:rFonts w:hint="eastAsia" w:ascii="宋体" w:hAnsi="宋体" w:eastAsia="宋体" w:cs="Times New Roman"/>
                <w:kern w:val="2"/>
                <w:sz w:val="24"/>
                <w:szCs w:val="24"/>
                <w:lang w:val="en-GB" w:eastAsia="zh-CN" w:bidi="ar-SA"/>
              </w:rPr>
            </w:pPr>
          </w:p>
          <w:p>
            <w:pPr>
              <w:widowControl/>
              <w:adjustRightInd w:val="0"/>
              <w:snapToGrid w:val="0"/>
              <w:jc w:val="left"/>
              <w:rPr>
                <w:rFonts w:hint="eastAsia" w:ascii="宋体" w:hAnsi="宋体" w:eastAsia="宋体" w:cs="Times New Roman"/>
                <w:kern w:val="2"/>
                <w:sz w:val="24"/>
                <w:szCs w:val="24"/>
                <w:lang w:val="en-GB" w:eastAsia="zh-CN" w:bidi="ar-SA"/>
              </w:rPr>
            </w:pPr>
            <w:r>
              <w:rPr>
                <w:rFonts w:hint="eastAsia" w:ascii="宋体" w:hAnsi="宋体" w:cs="Times New Roman"/>
                <w:kern w:val="2"/>
                <w:sz w:val="24"/>
                <w:szCs w:val="24"/>
                <w:lang w:val="en-US" w:eastAsia="zh-CN" w:bidi="ar-SA"/>
              </w:rPr>
              <w:t>2</w:t>
            </w:r>
            <w:r>
              <w:rPr>
                <w:rFonts w:hint="eastAsia" w:ascii="宋体" w:hAnsi="宋体" w:eastAsia="宋体" w:cs="Times New Roman"/>
                <w:kern w:val="2"/>
                <w:sz w:val="24"/>
                <w:szCs w:val="24"/>
                <w:lang w:val="en-GB" w:eastAsia="zh-CN" w:bidi="ar-SA"/>
              </w:rPr>
              <w:t>、2022年中国境内绿色电力证书交易代理服务市场：</w:t>
            </w:r>
          </w:p>
          <w:p>
            <w:pPr>
              <w:widowControl/>
              <w:adjustRightInd w:val="0"/>
              <w:snapToGrid w:val="0"/>
              <w:jc w:val="left"/>
              <w:rPr>
                <w:rFonts w:hint="eastAsia" w:ascii="宋体" w:hAnsi="宋体" w:eastAsia="宋体" w:cs="Times New Roman"/>
                <w:kern w:val="2"/>
                <w:sz w:val="24"/>
                <w:szCs w:val="24"/>
                <w:lang w:val="en-GB" w:eastAsia="zh-CN" w:bidi="ar-SA"/>
              </w:rPr>
            </w:pPr>
            <w:r>
              <w:rPr>
                <w:rFonts w:hint="eastAsia" w:ascii="宋体" w:hAnsi="宋体" w:eastAsia="宋体" w:cs="Times New Roman"/>
                <w:kern w:val="2"/>
                <w:sz w:val="24"/>
                <w:szCs w:val="24"/>
                <w:lang w:val="en-GB" w:eastAsia="zh-CN" w:bidi="ar-SA"/>
              </w:rPr>
              <w:t>能源投资公司关联企业：0-5%</w:t>
            </w:r>
          </w:p>
          <w:p>
            <w:pPr>
              <w:widowControl/>
              <w:adjustRightInd w:val="0"/>
              <w:snapToGrid w:val="0"/>
              <w:jc w:val="left"/>
              <w:rPr>
                <w:rFonts w:ascii="宋体" w:hAnsi="宋体" w:cs="宋体"/>
                <w:bCs/>
                <w:kern w:val="0"/>
                <w:szCs w:val="21"/>
              </w:rPr>
            </w:pPr>
          </w:p>
        </w:tc>
      </w:tr>
    </w:tbl>
    <w:p/>
    <w:p>
      <w:pPr>
        <w:rPr>
          <w:rFonts w:hint="eastAsia" w:ascii="宋体" w:hAnsi="宋体" w:eastAsia="宋体" w:cs="宋体"/>
          <w:sz w:val="21"/>
          <w:szCs w:val="21"/>
        </w:rPr>
      </w:pPr>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Wingdings 2">
    <w:panose1 w:val="05020102010507070707"/>
    <w:charset w:val="02"/>
    <w:family w:val="roman"/>
    <w:pitch w:val="default"/>
    <w:sig w:usb0="00000000" w:usb1="00000000" w:usb2="00000000" w:usb3="00000000" w:csb0="80000000"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M0Mzc2YWE3OThiZjE1YTdiMTdmZjZjMTk1Mzg2MGYifQ=="/>
  </w:docVars>
  <w:rsids>
    <w:rsidRoot w:val="750369D9"/>
    <w:rsid w:val="750369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paragraph" w:styleId="2">
    <w:name w:val="Body Text"/>
    <w:basedOn w:val="1"/>
    <w:unhideWhenUsed/>
    <w:qFormat/>
    <w:uiPriority w:val="99"/>
    <w:pPr>
      <w:spacing w:after="120"/>
    </w:pPr>
  </w:style>
  <w:style w:type="paragraph" w:styleId="3">
    <w:name w:val="annotation text"/>
    <w:basedOn w:val="1"/>
    <w:qFormat/>
    <w:uiPriority w:val="0"/>
    <w:pPr>
      <w:jc w:val="left"/>
    </w:pPr>
  </w:style>
  <w:style w:type="paragraph" w:styleId="4">
    <w:name w:val="Body Text First Indent"/>
    <w:basedOn w:val="2"/>
    <w:qFormat/>
    <w:uiPriority w:val="0"/>
    <w:pPr>
      <w:ind w:firstLine="420" w:firstLineChars="100"/>
    </w:p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2023-07-21T03:06:00Z</dcterms:created>
  <dc:creator>10527</dc:creator>
  <cp:lastModifiedBy>10527</cp:lastModifiedBy>
  <dcterms:modified xsi:type="dcterms:W3CDTF">2023-07-21T03:07:07Z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9C61ACFF5390445CB119C60B3DA73762_11</vt:lpwstr>
  </property>
</Properties>
</file>