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r>
        <w:rPr>
          <w:rFonts w:hint="eastAsia" w:ascii="黑体" w:hAnsi="黑体" w:eastAsia="黑体" w:cs="黑体"/>
          <w:bCs/>
          <w:sz w:val="36"/>
          <w:szCs w:val="36"/>
        </w:rPr>
        <w:t>经营者集中简易案件公示表</w:t>
      </w:r>
    </w:p>
    <w:tbl>
      <w:tblPr>
        <w:tblStyle w:val="7"/>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pPr>
              <w:rPr>
                <w:rFonts w:ascii="宋体" w:hAnsi="宋体" w:eastAsia="宋体" w:cs="Times New Roman"/>
                <w:sz w:val="24"/>
                <w:szCs w:val="24"/>
              </w:rPr>
            </w:pPr>
            <w:r>
              <w:rPr>
                <w:rFonts w:hint="eastAsia" w:ascii="宋体" w:hAnsi="宋体" w:eastAsia="宋体" w:cs="Times New Roman"/>
                <w:sz w:val="24"/>
                <w:szCs w:val="24"/>
                <w:lang w:val="en-GB"/>
              </w:rPr>
              <w:t>案件名称</w:t>
            </w:r>
          </w:p>
        </w:tc>
        <w:tc>
          <w:tcPr>
            <w:tcW w:w="7700" w:type="dxa"/>
            <w:gridSpan w:val="2"/>
            <w:vAlign w:val="center"/>
          </w:tcPr>
          <w:p>
            <w:pPr>
              <w:rPr>
                <w:rFonts w:ascii="宋体" w:hAnsi="宋体" w:eastAsia="宋体" w:cs="Times New Roman"/>
                <w:sz w:val="24"/>
                <w:szCs w:val="24"/>
              </w:rPr>
            </w:pPr>
            <w:r>
              <w:rPr>
                <w:rFonts w:hint="eastAsia" w:ascii="宋体" w:hAnsi="宋体" w:eastAsia="宋体" w:cs="Times New Roman"/>
                <w:sz w:val="24"/>
                <w:szCs w:val="24"/>
              </w:rPr>
              <w:t>重庆燃气集团股份有限公司与成都燃气集团股份有限公司新设合营企业案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pPr>
              <w:rPr>
                <w:rFonts w:ascii="宋体" w:hAnsi="宋体" w:eastAsia="宋体" w:cs="Times New Roman"/>
                <w:sz w:val="24"/>
                <w:szCs w:val="24"/>
              </w:rPr>
            </w:pPr>
            <w:r>
              <w:rPr>
                <w:rFonts w:hint="eastAsia" w:ascii="宋体" w:hAnsi="宋体" w:eastAsia="宋体" w:cs="Times New Roman"/>
                <w:sz w:val="24"/>
                <w:szCs w:val="24"/>
                <w:lang w:val="en-GB"/>
              </w:rPr>
              <w:t>交易概况（限200字内）</w:t>
            </w:r>
          </w:p>
        </w:tc>
        <w:tc>
          <w:tcPr>
            <w:tcW w:w="7700" w:type="dxa"/>
            <w:gridSpan w:val="2"/>
            <w:vAlign w:val="center"/>
          </w:tcPr>
          <w:p>
            <w:pPr>
              <w:rPr>
                <w:rFonts w:ascii="Times New Roman" w:hAnsi="Times New Roman" w:eastAsia="宋体" w:cs="Times New Roman"/>
                <w:szCs w:val="24"/>
              </w:rPr>
            </w:pPr>
            <w:r>
              <w:rPr>
                <w:rFonts w:hint="eastAsia" w:ascii="宋体" w:hAnsi="宋体" w:eastAsia="宋体" w:cs="Times New Roman"/>
                <w:sz w:val="24"/>
                <w:szCs w:val="24"/>
              </w:rPr>
              <w:t>重庆燃气集团股份有限公司（“重庆燃气”）、成都燃气集团股份有限公司</w:t>
            </w:r>
            <w:r>
              <w:rPr>
                <w:rFonts w:hint="eastAsia" w:ascii="宋体" w:hAnsi="宋体" w:eastAsia="宋体" w:cs="Times New Roman"/>
                <w:sz w:val="24"/>
                <w:szCs w:val="24"/>
                <w:lang w:val="en-GB"/>
              </w:rPr>
              <w:t>（“成都燃气”）</w:t>
            </w:r>
            <w:r>
              <w:rPr>
                <w:rFonts w:hint="eastAsia" w:ascii="宋体" w:hAnsi="宋体" w:eastAsia="宋体" w:cs="Times New Roman"/>
                <w:sz w:val="24"/>
                <w:szCs w:val="24"/>
              </w:rPr>
              <w:t>签署协议拟设立一家合营企业，合营企业主要从事天然气管道压力检验检测等业务。交易后，重庆燃气、成都燃气分别持有5</w:t>
            </w:r>
            <w:r>
              <w:rPr>
                <w:rFonts w:ascii="宋体" w:hAnsi="宋体" w:eastAsia="宋体" w:cs="Times New Roman"/>
                <w:sz w:val="24"/>
                <w:szCs w:val="24"/>
              </w:rPr>
              <w:t>0%</w:t>
            </w:r>
            <w:r>
              <w:rPr>
                <w:rFonts w:hint="eastAsia" w:ascii="宋体" w:hAnsi="宋体" w:eastAsia="宋体" w:cs="Times New Roman"/>
                <w:sz w:val="24"/>
                <w:szCs w:val="24"/>
              </w:rPr>
              <w:t>、5</w:t>
            </w:r>
            <w:r>
              <w:rPr>
                <w:rFonts w:ascii="宋体" w:hAnsi="宋体" w:eastAsia="宋体" w:cs="Times New Roman"/>
                <w:sz w:val="24"/>
                <w:szCs w:val="24"/>
              </w:rPr>
              <w:t>0%</w:t>
            </w:r>
            <w:r>
              <w:rPr>
                <w:rFonts w:hint="eastAsia" w:ascii="宋体" w:hAnsi="宋体" w:eastAsia="宋体" w:cs="Times New Roman"/>
                <w:sz w:val="24"/>
                <w:szCs w:val="24"/>
              </w:rPr>
              <w:t>的股权，共同控制合营企业。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vAlign w:val="center"/>
          </w:tcPr>
          <w:p>
            <w:pPr>
              <w:rPr>
                <w:rFonts w:ascii="宋体" w:hAnsi="宋体" w:eastAsia="宋体" w:cs="Times New Roman"/>
                <w:sz w:val="24"/>
                <w:szCs w:val="24"/>
              </w:rPr>
            </w:pPr>
            <w:r>
              <w:rPr>
                <w:rFonts w:hint="eastAsia" w:ascii="宋体" w:hAnsi="宋体" w:eastAsia="宋体" w:cs="Times New Roman"/>
                <w:sz w:val="24"/>
                <w:szCs w:val="24"/>
                <w:lang w:val="en-GB"/>
              </w:rPr>
              <w:t>参与集中的经营者简介（每个限</w:t>
            </w:r>
            <w:r>
              <w:rPr>
                <w:rFonts w:hint="eastAsia" w:ascii="宋体" w:hAnsi="宋体" w:eastAsia="宋体" w:cs="Times New Roman"/>
                <w:sz w:val="24"/>
                <w:szCs w:val="24"/>
              </w:rPr>
              <w:t>100字以内</w:t>
            </w:r>
            <w:r>
              <w:rPr>
                <w:rFonts w:hint="eastAsia" w:ascii="宋体" w:hAnsi="宋体" w:eastAsia="宋体" w:cs="Times New Roman"/>
                <w:sz w:val="24"/>
                <w:szCs w:val="24"/>
                <w:lang w:val="en-GB"/>
              </w:rPr>
              <w:t>）</w:t>
            </w:r>
          </w:p>
        </w:tc>
        <w:tc>
          <w:tcPr>
            <w:tcW w:w="1607" w:type="dxa"/>
            <w:vAlign w:val="center"/>
          </w:tcPr>
          <w:p>
            <w:pPr>
              <w:rPr>
                <w:rFonts w:ascii="宋体" w:hAnsi="宋体" w:eastAsia="宋体" w:cs="Times New Roman"/>
                <w:sz w:val="24"/>
                <w:szCs w:val="24"/>
                <w:lang w:val="en-GB"/>
              </w:rPr>
            </w:pPr>
            <w:r>
              <w:rPr>
                <w:rFonts w:hint="eastAsia" w:ascii="宋体" w:hAnsi="宋体" w:eastAsia="宋体" w:cs="Times New Roman"/>
                <w:sz w:val="24"/>
                <w:szCs w:val="24"/>
              </w:rPr>
              <w:t>1</w:t>
            </w:r>
            <w:r>
              <w:rPr>
                <w:rFonts w:ascii="宋体" w:hAnsi="宋体" w:eastAsia="宋体" w:cs="Times New Roman"/>
                <w:sz w:val="24"/>
                <w:szCs w:val="24"/>
              </w:rPr>
              <w:t>.</w:t>
            </w:r>
            <w:r>
              <w:rPr>
                <w:rFonts w:hint="eastAsia" w:ascii="宋体" w:hAnsi="宋体" w:eastAsia="宋体" w:cs="Times New Roman"/>
                <w:sz w:val="24"/>
                <w:szCs w:val="24"/>
              </w:rPr>
              <w:t>重庆燃气集团股份有限公司（“重庆燃气”）</w:t>
            </w:r>
          </w:p>
        </w:tc>
        <w:tc>
          <w:tcPr>
            <w:tcW w:w="6093" w:type="dxa"/>
            <w:vAlign w:val="center"/>
          </w:tcPr>
          <w:p>
            <w:pPr>
              <w:rPr>
                <w:rFonts w:ascii="宋体" w:hAnsi="宋体" w:eastAsia="宋体" w:cs="Times New Roman"/>
                <w:sz w:val="24"/>
                <w:szCs w:val="24"/>
              </w:rPr>
            </w:pPr>
            <w:r>
              <w:rPr>
                <w:rFonts w:hint="eastAsia" w:ascii="宋体" w:hAnsi="宋体" w:eastAsia="宋体" w:cs="Times New Roman"/>
                <w:sz w:val="24"/>
                <w:szCs w:val="24"/>
              </w:rPr>
              <w:t>重庆燃气于1</w:t>
            </w:r>
            <w:r>
              <w:rPr>
                <w:rFonts w:ascii="宋体" w:hAnsi="宋体" w:eastAsia="宋体" w:cs="Times New Roman"/>
                <w:sz w:val="24"/>
                <w:szCs w:val="24"/>
              </w:rPr>
              <w:t>995</w:t>
            </w:r>
            <w:r>
              <w:rPr>
                <w:rFonts w:hint="eastAsia" w:ascii="宋体" w:hAnsi="宋体" w:eastAsia="宋体" w:cs="Times New Roman"/>
                <w:sz w:val="24"/>
                <w:szCs w:val="24"/>
              </w:rPr>
              <w:t>年4月2</w:t>
            </w:r>
            <w:r>
              <w:rPr>
                <w:rFonts w:ascii="宋体" w:hAnsi="宋体" w:eastAsia="宋体" w:cs="Times New Roman"/>
                <w:sz w:val="24"/>
                <w:szCs w:val="24"/>
              </w:rPr>
              <w:t>4</w:t>
            </w:r>
            <w:r>
              <w:rPr>
                <w:rFonts w:hint="eastAsia" w:ascii="宋体" w:hAnsi="宋体" w:eastAsia="宋体" w:cs="Times New Roman"/>
                <w:sz w:val="24"/>
                <w:szCs w:val="24"/>
              </w:rPr>
              <w:t>日成立于中国重庆市，主要业务为燃气供应、燃气输送、燃气储备、燃气配额、燃气销售等。</w:t>
            </w:r>
          </w:p>
          <w:p>
            <w:pPr>
              <w:rPr>
                <w:rFonts w:ascii="宋体" w:hAnsi="宋体" w:eastAsia="宋体" w:cs="Times New Roman"/>
                <w:sz w:val="24"/>
                <w:szCs w:val="24"/>
              </w:rPr>
            </w:pPr>
            <w:r>
              <w:rPr>
                <w:rFonts w:hint="eastAsia" w:ascii="宋体" w:hAnsi="宋体" w:eastAsia="宋体" w:cs="Times New Roman"/>
                <w:sz w:val="24"/>
                <w:szCs w:val="24"/>
              </w:rPr>
              <w:t>重庆燃气属国有控股上市企业，是华润燃气下属企业。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pPr>
              <w:rPr>
                <w:rFonts w:ascii="宋体" w:hAnsi="宋体" w:eastAsia="宋体" w:cs="Times New Roman"/>
                <w:sz w:val="24"/>
                <w:szCs w:val="24"/>
              </w:rPr>
            </w:pPr>
          </w:p>
        </w:tc>
        <w:tc>
          <w:tcPr>
            <w:tcW w:w="1607" w:type="dxa"/>
            <w:vAlign w:val="center"/>
          </w:tcPr>
          <w:p>
            <w:pPr>
              <w:rPr>
                <w:rFonts w:ascii="宋体" w:hAnsi="宋体" w:eastAsia="宋体" w:cs="Times New Roman"/>
                <w:sz w:val="24"/>
                <w:szCs w:val="24"/>
                <w:lang w:val="en-GB"/>
              </w:rPr>
            </w:pPr>
            <w:r>
              <w:rPr>
                <w:rFonts w:hint="eastAsia" w:ascii="宋体" w:hAnsi="宋体" w:eastAsia="宋体" w:cs="Times New Roman"/>
                <w:sz w:val="24"/>
                <w:szCs w:val="24"/>
              </w:rPr>
              <w:t>2.成都燃气集团股份有限公司</w:t>
            </w:r>
            <w:r>
              <w:rPr>
                <w:rFonts w:hint="eastAsia" w:ascii="宋体" w:hAnsi="宋体" w:eastAsia="宋体" w:cs="Times New Roman"/>
                <w:sz w:val="24"/>
                <w:szCs w:val="24"/>
                <w:lang w:val="en-GB"/>
              </w:rPr>
              <w:t>（“成都燃气”）</w:t>
            </w:r>
          </w:p>
        </w:tc>
        <w:tc>
          <w:tcPr>
            <w:tcW w:w="6093" w:type="dxa"/>
            <w:vAlign w:val="center"/>
          </w:tcPr>
          <w:p>
            <w:pPr>
              <w:rPr>
                <w:rFonts w:ascii="宋体" w:hAnsi="宋体" w:eastAsia="宋体" w:cs="Times New Roman"/>
                <w:sz w:val="24"/>
                <w:szCs w:val="24"/>
              </w:rPr>
            </w:pPr>
            <w:r>
              <w:rPr>
                <w:rFonts w:hint="eastAsia" w:ascii="宋体" w:hAnsi="宋体" w:eastAsia="宋体" w:cs="Times New Roman"/>
                <w:sz w:val="24"/>
                <w:szCs w:val="24"/>
                <w:lang w:bidi="ar-AE"/>
              </w:rPr>
              <w:t>成都燃气</w:t>
            </w:r>
            <w:r>
              <w:rPr>
                <w:rFonts w:hint="eastAsia" w:ascii="宋体" w:hAnsi="宋体" w:eastAsia="宋体" w:cs="Times New Roman"/>
                <w:sz w:val="24"/>
                <w:szCs w:val="24"/>
              </w:rPr>
              <w:t>于</w:t>
            </w:r>
            <w:r>
              <w:rPr>
                <w:rFonts w:ascii="宋体" w:hAnsi="宋体" w:eastAsia="宋体" w:cs="Times New Roman"/>
                <w:sz w:val="24"/>
                <w:szCs w:val="24"/>
              </w:rPr>
              <w:t>1986</w:t>
            </w:r>
            <w:r>
              <w:rPr>
                <w:rFonts w:hint="eastAsia" w:ascii="宋体" w:hAnsi="宋体" w:eastAsia="宋体" w:cs="Times New Roman"/>
                <w:sz w:val="24"/>
                <w:szCs w:val="24"/>
              </w:rPr>
              <w:t>年4月1</w:t>
            </w:r>
            <w:r>
              <w:rPr>
                <w:rFonts w:ascii="宋体" w:hAnsi="宋体" w:eastAsia="宋体" w:cs="Times New Roman"/>
                <w:sz w:val="24"/>
                <w:szCs w:val="24"/>
              </w:rPr>
              <w:t>1</w:t>
            </w:r>
            <w:r>
              <w:rPr>
                <w:rFonts w:hint="eastAsia" w:ascii="宋体" w:hAnsi="宋体" w:eastAsia="宋体" w:cs="Times New Roman"/>
                <w:sz w:val="24"/>
                <w:szCs w:val="24"/>
              </w:rPr>
              <w:t>日成立于中国四川省，为上海证券交易所上市公司，主要业务为城市燃气供应，燃气输配、应用、管理，燃气专用设备、压力容器、计量装置检测，燃气具及设备销售等。</w:t>
            </w:r>
          </w:p>
          <w:p>
            <w:pPr>
              <w:rPr>
                <w:rFonts w:ascii="宋体" w:hAnsi="宋体" w:eastAsia="宋体" w:cs="Times New Roman"/>
                <w:sz w:val="24"/>
                <w:szCs w:val="24"/>
              </w:rPr>
            </w:pPr>
            <w:r>
              <w:rPr>
                <w:rFonts w:hint="eastAsia" w:ascii="宋体" w:hAnsi="宋体" w:eastAsia="宋体" w:cs="Times New Roman"/>
                <w:sz w:val="24"/>
                <w:szCs w:val="24"/>
              </w:rPr>
              <w:t>成都燃气属国有控股上市企业，是成都国资委下属企业。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pPr>
              <w:rPr>
                <w:rFonts w:ascii="宋体" w:hAnsi="宋体" w:eastAsia="宋体" w:cs="Times New Roman"/>
                <w:sz w:val="24"/>
                <w:szCs w:val="24"/>
              </w:rPr>
            </w:pPr>
            <w:r>
              <w:rPr>
                <w:rFonts w:hint="eastAsia" w:ascii="宋体" w:hAnsi="宋体" w:eastAsia="宋体" w:cs="Times New Roman"/>
                <w:sz w:val="24"/>
                <w:szCs w:val="24"/>
                <w:lang w:val="en-GB"/>
              </w:rPr>
              <w:t>简易案件理由（可以单选，也可以多选）</w:t>
            </w:r>
          </w:p>
        </w:tc>
        <w:tc>
          <w:tcPr>
            <w:tcW w:w="7700" w:type="dxa"/>
            <w:gridSpan w:val="2"/>
            <w:vAlign w:val="center"/>
          </w:tcPr>
          <w:p>
            <w:pPr>
              <w:rPr>
                <w:rFonts w:ascii="宋体" w:hAnsi="宋体" w:eastAsia="宋体" w:cs="Times New Roman"/>
                <w:sz w:val="24"/>
                <w:szCs w:val="24"/>
              </w:rPr>
            </w:pPr>
            <w:r>
              <w:rPr>
                <w:rFonts w:hint="eastAsia" w:ascii="宋体" w:hAnsi="宋体" w:eastAsia="宋体" w:cs="Times New Roman"/>
                <w:sz w:val="24"/>
                <w:szCs w:val="24"/>
                <w:lang w:val="en-GB"/>
              </w:rPr>
              <w:sym w:font="Wingdings" w:char="00FE"/>
            </w:r>
            <w:r>
              <w:rPr>
                <w:rFonts w:hint="eastAsia" w:ascii="宋体" w:hAnsi="宋体" w:eastAsia="宋体" w:cs="Times New Roman"/>
                <w:sz w:val="24"/>
                <w:szCs w:val="24"/>
                <w:lang w:val="en-GB"/>
              </w:rPr>
              <w:t xml:space="preserve"> 1、在同一相关市场，所有参与集中的经营者所占市场份额之和小于</w:t>
            </w:r>
            <w:r>
              <w:rPr>
                <w:rFonts w:hint="eastAsia" w:ascii="宋体" w:hAnsi="宋体" w:eastAsia="宋体" w:cs="Times New Roman"/>
                <w:sz w:val="24"/>
                <w:szCs w:val="24"/>
              </w:rPr>
              <w:t>15%</w:t>
            </w:r>
            <w:r>
              <w:rPr>
                <w:rFonts w:hint="eastAsia" w:ascii="宋体" w:hAnsi="宋体" w:eastAsia="宋体" w:cs="Times New Roman"/>
                <w:sz w:val="24"/>
                <w:szCs w:val="24"/>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pPr>
              <w:rPr>
                <w:rFonts w:ascii="宋体" w:hAnsi="宋体" w:eastAsia="宋体" w:cs="Times New Roman"/>
                <w:sz w:val="24"/>
                <w:szCs w:val="24"/>
              </w:rPr>
            </w:pPr>
          </w:p>
        </w:tc>
        <w:tc>
          <w:tcPr>
            <w:tcW w:w="7700" w:type="dxa"/>
            <w:gridSpan w:val="2"/>
            <w:vAlign w:val="center"/>
          </w:tcPr>
          <w:p>
            <w:pPr>
              <w:rPr>
                <w:rFonts w:ascii="宋体" w:hAnsi="宋体" w:eastAsia="宋体" w:cs="Times New Roman"/>
                <w:sz w:val="24"/>
                <w:szCs w:val="24"/>
              </w:rPr>
            </w:pPr>
            <w:r>
              <w:rPr>
                <w:rFonts w:hint="eastAsia" w:ascii="宋体" w:hAnsi="宋体" w:eastAsia="宋体" w:cs="Times New Roman"/>
                <w:sz w:val="24"/>
                <w:szCs w:val="24"/>
                <w:lang w:val="en-GB"/>
              </w:rPr>
              <w:sym w:font="Wingdings" w:char="00FE"/>
            </w:r>
            <w:r>
              <w:rPr>
                <w:rFonts w:hint="eastAsia" w:ascii="宋体" w:hAnsi="宋体" w:eastAsia="宋体" w:cs="Times New Roman"/>
                <w:sz w:val="24"/>
                <w:szCs w:val="24"/>
                <w:lang w:val="en-GB"/>
              </w:rPr>
              <w:t xml:space="preserve"> 2、存在上下游关系的参与集中的经营者，在上下游市场所占的市场份额均小于</w:t>
            </w:r>
            <w:r>
              <w:rPr>
                <w:rFonts w:hint="eastAsia" w:ascii="宋体" w:hAnsi="宋体" w:eastAsia="宋体" w:cs="Times New Roman"/>
                <w:sz w:val="24"/>
                <w:szCs w:val="24"/>
              </w:rPr>
              <w:t>25%</w:t>
            </w:r>
            <w:r>
              <w:rPr>
                <w:rFonts w:hint="eastAsia" w:ascii="宋体" w:hAnsi="宋体" w:eastAsia="宋体" w:cs="Times New Roman"/>
                <w:sz w:val="24"/>
                <w:szCs w:val="24"/>
                <w:lang w:val="en-GB"/>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pPr>
              <w:rPr>
                <w:rFonts w:ascii="宋体" w:hAnsi="宋体" w:eastAsia="宋体" w:cs="Times New Roman"/>
                <w:sz w:val="24"/>
                <w:szCs w:val="24"/>
              </w:rPr>
            </w:pPr>
          </w:p>
        </w:tc>
        <w:tc>
          <w:tcPr>
            <w:tcW w:w="7700" w:type="dxa"/>
            <w:gridSpan w:val="2"/>
            <w:vAlign w:val="center"/>
          </w:tcPr>
          <w:p>
            <w:pPr>
              <w:rPr>
                <w:rFonts w:ascii="宋体" w:hAnsi="宋体" w:eastAsia="宋体" w:cs="Times New Roman"/>
                <w:sz w:val="24"/>
                <w:szCs w:val="24"/>
              </w:rPr>
            </w:pPr>
            <w:r>
              <w:rPr>
                <w:rFonts w:hint="eastAsia" w:ascii="宋体" w:hAnsi="宋体" w:eastAsia="宋体" w:cs="Times New Roman"/>
                <w:sz w:val="24"/>
                <w:szCs w:val="24"/>
                <w:lang w:val="en-GB"/>
              </w:rPr>
              <w:sym w:font="Wingdings" w:char="00A8"/>
            </w:r>
            <w:r>
              <w:rPr>
                <w:rFonts w:hint="eastAsia" w:ascii="宋体" w:hAnsi="宋体" w:eastAsia="宋体" w:cs="Times New Roman"/>
                <w:sz w:val="24"/>
                <w:szCs w:val="24"/>
                <w:lang w:val="en-GB"/>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vAlign w:val="center"/>
          </w:tcPr>
          <w:p>
            <w:pPr>
              <w:rPr>
                <w:rFonts w:ascii="宋体" w:hAnsi="宋体" w:eastAsia="宋体" w:cs="Times New Roman"/>
                <w:sz w:val="24"/>
                <w:szCs w:val="24"/>
              </w:rPr>
            </w:pPr>
          </w:p>
        </w:tc>
        <w:tc>
          <w:tcPr>
            <w:tcW w:w="7700" w:type="dxa"/>
            <w:gridSpan w:val="2"/>
            <w:vAlign w:val="center"/>
          </w:tcPr>
          <w:p>
            <w:pPr>
              <w:rPr>
                <w:rFonts w:ascii="宋体" w:hAnsi="宋体" w:eastAsia="宋体" w:cs="Times New Roman"/>
                <w:sz w:val="24"/>
                <w:szCs w:val="24"/>
              </w:rPr>
            </w:pPr>
            <w:r>
              <w:rPr>
                <w:rFonts w:hint="eastAsia" w:ascii="宋体" w:hAnsi="宋体" w:eastAsia="宋体" w:cs="Times New Roman"/>
                <w:sz w:val="24"/>
                <w:szCs w:val="24"/>
                <w:lang w:val="en-GB"/>
              </w:rPr>
              <w:sym w:font="Wingdings" w:char="00A8"/>
            </w:r>
            <w:r>
              <w:rPr>
                <w:rFonts w:hint="eastAsia" w:ascii="宋体" w:hAnsi="宋体" w:eastAsia="宋体" w:cs="Times New Roman"/>
                <w:sz w:val="24"/>
                <w:szCs w:val="24"/>
                <w:lang w:val="en-GB"/>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pPr>
              <w:rPr>
                <w:rFonts w:ascii="宋体" w:hAnsi="宋体" w:eastAsia="宋体" w:cs="Times New Roman"/>
                <w:sz w:val="24"/>
                <w:szCs w:val="24"/>
              </w:rPr>
            </w:pPr>
          </w:p>
        </w:tc>
        <w:tc>
          <w:tcPr>
            <w:tcW w:w="7700" w:type="dxa"/>
            <w:gridSpan w:val="2"/>
            <w:vAlign w:val="center"/>
          </w:tcPr>
          <w:p>
            <w:pPr>
              <w:rPr>
                <w:rFonts w:ascii="宋体" w:hAnsi="宋体" w:eastAsia="宋体" w:cs="Times New Roman"/>
                <w:sz w:val="24"/>
                <w:szCs w:val="24"/>
              </w:rPr>
            </w:pPr>
            <w:r>
              <w:rPr>
                <w:rFonts w:hint="eastAsia" w:ascii="宋体" w:hAnsi="宋体" w:eastAsia="宋体" w:cs="Times New Roman"/>
                <w:sz w:val="24"/>
                <w:szCs w:val="24"/>
                <w:lang w:val="en-GB"/>
              </w:rPr>
              <w:sym w:font="Wingdings" w:char="00A8"/>
            </w:r>
            <w:r>
              <w:rPr>
                <w:rFonts w:hint="eastAsia" w:ascii="宋体" w:hAnsi="宋体" w:eastAsia="宋体" w:cs="Times New Roman"/>
                <w:sz w:val="24"/>
                <w:szCs w:val="24"/>
                <w:lang w:val="en-GB"/>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pPr>
              <w:rPr>
                <w:rFonts w:ascii="宋体" w:hAnsi="宋体" w:eastAsia="宋体" w:cs="Times New Roman"/>
                <w:sz w:val="24"/>
                <w:szCs w:val="24"/>
              </w:rPr>
            </w:pPr>
          </w:p>
        </w:tc>
        <w:tc>
          <w:tcPr>
            <w:tcW w:w="7700" w:type="dxa"/>
            <w:gridSpan w:val="2"/>
            <w:vAlign w:val="center"/>
          </w:tcPr>
          <w:p>
            <w:pPr>
              <w:rPr>
                <w:rFonts w:ascii="宋体" w:hAnsi="宋体" w:eastAsia="宋体" w:cs="Times New Roman"/>
                <w:sz w:val="24"/>
                <w:szCs w:val="24"/>
              </w:rPr>
            </w:pPr>
            <w:r>
              <w:rPr>
                <w:rFonts w:hint="eastAsia" w:ascii="宋体" w:hAnsi="宋体" w:eastAsia="宋体" w:cs="Times New Roman"/>
                <w:sz w:val="24"/>
                <w:szCs w:val="24"/>
                <w:lang w:val="en-GB"/>
              </w:rPr>
              <w:sym w:font="Wingdings" w:char="00A8"/>
            </w:r>
            <w:r>
              <w:rPr>
                <w:rFonts w:hint="eastAsia" w:ascii="宋体" w:hAnsi="宋体" w:eastAsia="宋体" w:cs="Times New Roman"/>
                <w:sz w:val="24"/>
                <w:szCs w:val="24"/>
                <w:lang w:val="en-GB"/>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vAlign w:val="center"/>
          </w:tcPr>
          <w:p>
            <w:pPr>
              <w:rPr>
                <w:rFonts w:ascii="宋体" w:hAnsi="宋体" w:eastAsia="宋体" w:cs="Times New Roman"/>
                <w:sz w:val="24"/>
                <w:szCs w:val="24"/>
              </w:rPr>
            </w:pPr>
            <w:r>
              <w:rPr>
                <w:rFonts w:hint="eastAsia" w:ascii="宋体" w:hAnsi="宋体" w:eastAsia="宋体" w:cs="Times New Roman"/>
                <w:sz w:val="24"/>
                <w:szCs w:val="24"/>
              </w:rPr>
              <w:t>备注</w:t>
            </w:r>
          </w:p>
        </w:tc>
        <w:tc>
          <w:tcPr>
            <w:tcW w:w="7700" w:type="dxa"/>
            <w:gridSpan w:val="2"/>
            <w:vAlign w:val="center"/>
          </w:tcPr>
          <w:p>
            <w:pPr>
              <w:rPr>
                <w:rFonts w:ascii="宋体" w:hAnsi="宋体" w:eastAsia="宋体" w:cs="Times New Roman"/>
                <w:b/>
                <w:sz w:val="24"/>
                <w:szCs w:val="24"/>
                <w:lang w:val="en-GB"/>
              </w:rPr>
            </w:pPr>
            <w:r>
              <w:rPr>
                <w:rFonts w:hint="eastAsia" w:ascii="宋体" w:hAnsi="宋体" w:eastAsia="宋体" w:cs="Times New Roman"/>
                <w:b/>
                <w:sz w:val="24"/>
                <w:szCs w:val="24"/>
                <w:lang w:val="en-GB"/>
              </w:rPr>
              <w:t>横向重叠：</w:t>
            </w:r>
          </w:p>
          <w:p>
            <w:pPr>
              <w:rPr>
                <w:rFonts w:ascii="宋体" w:hAnsi="宋体" w:eastAsia="宋体" w:cs="Times New Roman"/>
                <w:b/>
                <w:sz w:val="24"/>
                <w:szCs w:val="24"/>
                <w:lang w:val="en-GB"/>
              </w:rPr>
            </w:pPr>
            <w:r>
              <w:rPr>
                <w:rFonts w:hint="eastAsia" w:ascii="宋体" w:hAnsi="宋体" w:eastAsia="宋体" w:cs="Times New Roman"/>
                <w:sz w:val="24"/>
                <w:szCs w:val="24"/>
                <w:lang w:val="en-GB"/>
              </w:rPr>
              <w:t>2</w:t>
            </w:r>
            <w:r>
              <w:rPr>
                <w:rFonts w:ascii="宋体" w:hAnsi="宋体" w:eastAsia="宋体" w:cs="Times New Roman"/>
                <w:sz w:val="24"/>
                <w:szCs w:val="24"/>
                <w:lang w:val="en-GB"/>
              </w:rPr>
              <w:t>022</w:t>
            </w:r>
            <w:r>
              <w:rPr>
                <w:rFonts w:hint="eastAsia" w:ascii="宋体" w:hAnsi="宋体" w:eastAsia="宋体" w:cs="Times New Roman"/>
                <w:sz w:val="24"/>
                <w:szCs w:val="24"/>
                <w:lang w:val="en-GB"/>
              </w:rPr>
              <w:t>年中国境内</w:t>
            </w:r>
            <w:r>
              <w:rPr>
                <w:rFonts w:hint="eastAsia" w:ascii="宋体" w:hAnsi="宋体" w:eastAsia="宋体" w:cs="Times New Roman"/>
                <w:sz w:val="24"/>
                <w:szCs w:val="24"/>
                <w:lang w:val="en-GB" w:eastAsia="zh-CN"/>
              </w:rPr>
              <w:t>城市管道</w:t>
            </w:r>
            <w:r>
              <w:rPr>
                <w:rFonts w:hint="eastAsia" w:ascii="宋体" w:hAnsi="宋体" w:eastAsia="宋体" w:cs="Times New Roman"/>
                <w:sz w:val="24"/>
                <w:szCs w:val="24"/>
                <w:lang w:val="en-GB"/>
              </w:rPr>
              <w:t>天然气</w:t>
            </w:r>
            <w:r>
              <w:rPr>
                <w:rFonts w:hint="eastAsia" w:ascii="宋体" w:hAnsi="宋体" w:eastAsia="宋体" w:cs="Times New Roman"/>
                <w:sz w:val="24"/>
                <w:szCs w:val="24"/>
                <w:lang w:val="en-GB" w:eastAsia="zh-CN"/>
              </w:rPr>
              <w:t>供应</w:t>
            </w:r>
            <w:r>
              <w:rPr>
                <w:rFonts w:hint="eastAsia" w:ascii="宋体" w:hAnsi="宋体" w:eastAsia="宋体" w:cs="Times New Roman"/>
                <w:sz w:val="24"/>
                <w:szCs w:val="24"/>
              </w:rPr>
              <w:t>市场</w:t>
            </w:r>
          </w:p>
          <w:p>
            <w:pPr>
              <w:rPr>
                <w:rFonts w:hint="eastAsia" w:ascii="宋体" w:hAnsi="宋体" w:eastAsia="宋体" w:cs="Times New Roman"/>
                <w:sz w:val="24"/>
                <w:szCs w:val="24"/>
                <w:lang w:val="en-US" w:eastAsia="zh-CN"/>
              </w:rPr>
            </w:pPr>
            <w:r>
              <w:rPr>
                <w:rFonts w:hint="eastAsia" w:ascii="宋体" w:hAnsi="宋体" w:eastAsia="宋体" w:cs="Times New Roman"/>
                <w:sz w:val="24"/>
                <w:szCs w:val="24"/>
                <w:lang w:val="en-GB"/>
              </w:rPr>
              <w:t>重庆燃气：</w:t>
            </w:r>
            <w:r>
              <w:rPr>
                <w:rFonts w:hint="eastAsia" w:ascii="宋体" w:hAnsi="宋体" w:eastAsia="宋体" w:cs="Times New Roman"/>
                <w:sz w:val="24"/>
                <w:szCs w:val="24"/>
                <w:lang w:val="en-US" w:eastAsia="zh-CN"/>
              </w:rPr>
              <w:t>5</w:t>
            </w:r>
            <w:r>
              <w:rPr>
                <w:rFonts w:ascii="宋体" w:hAnsi="宋体" w:eastAsia="宋体" w:cs="Times New Roman"/>
                <w:sz w:val="24"/>
                <w:szCs w:val="24"/>
                <w:lang w:val="en-GB"/>
              </w:rPr>
              <w:t>-</w:t>
            </w:r>
            <w:r>
              <w:rPr>
                <w:rFonts w:hint="eastAsia" w:ascii="宋体" w:hAnsi="宋体" w:eastAsia="宋体" w:cs="Times New Roman"/>
                <w:sz w:val="24"/>
                <w:szCs w:val="24"/>
                <w:lang w:val="en-US" w:eastAsia="zh-CN"/>
              </w:rPr>
              <w:t>10</w:t>
            </w:r>
            <w:r>
              <w:rPr>
                <w:rFonts w:ascii="宋体" w:hAnsi="宋体" w:eastAsia="宋体" w:cs="Times New Roman"/>
                <w:sz w:val="24"/>
                <w:szCs w:val="24"/>
                <w:lang w:val="en-GB"/>
              </w:rPr>
              <w:t>%</w:t>
            </w:r>
            <w:r>
              <w:rPr>
                <w:rFonts w:hint="eastAsia" w:ascii="宋体" w:hAnsi="宋体" w:eastAsia="宋体" w:cs="Times New Roman"/>
                <w:sz w:val="24"/>
                <w:szCs w:val="24"/>
                <w:lang w:val="en-GB"/>
              </w:rPr>
              <w:t>，成都燃气：0</w:t>
            </w:r>
            <w:r>
              <w:rPr>
                <w:rFonts w:ascii="宋体" w:hAnsi="宋体" w:eastAsia="宋体" w:cs="Times New Roman"/>
                <w:sz w:val="24"/>
                <w:szCs w:val="24"/>
                <w:lang w:val="en-GB"/>
              </w:rPr>
              <w:t>-5%</w:t>
            </w:r>
            <w:r>
              <w:rPr>
                <w:rFonts w:hint="eastAsia" w:ascii="宋体" w:hAnsi="宋体" w:eastAsia="宋体" w:cs="Times New Roman"/>
                <w:sz w:val="24"/>
                <w:szCs w:val="24"/>
                <w:lang w:val="en-GB" w:eastAsia="zh-CN"/>
              </w:rPr>
              <w:t>，双方合计：</w:t>
            </w:r>
            <w:r>
              <w:rPr>
                <w:rFonts w:hint="eastAsia" w:ascii="宋体" w:hAnsi="宋体" w:eastAsia="宋体" w:cs="Times New Roman"/>
                <w:sz w:val="24"/>
                <w:szCs w:val="24"/>
                <w:lang w:val="en-US" w:eastAsia="zh-CN"/>
              </w:rPr>
              <w:t>10-1</w:t>
            </w:r>
            <w:bookmarkStart w:id="0" w:name="_GoBack"/>
            <w:bookmarkEnd w:id="0"/>
            <w:r>
              <w:rPr>
                <w:rFonts w:hint="eastAsia" w:ascii="宋体" w:hAnsi="宋体" w:eastAsia="宋体" w:cs="Times New Roman"/>
                <w:sz w:val="24"/>
                <w:szCs w:val="24"/>
                <w:lang w:val="en-US" w:eastAsia="zh-CN"/>
              </w:rPr>
              <w:t>5%</w:t>
            </w:r>
          </w:p>
          <w:p>
            <w:pPr>
              <w:rPr>
                <w:rFonts w:hint="default" w:ascii="宋体" w:hAnsi="宋体" w:eastAsia="宋体" w:cs="Times New Roman"/>
                <w:sz w:val="24"/>
                <w:szCs w:val="24"/>
                <w:lang w:val="en-US" w:eastAsia="zh-CN"/>
              </w:rPr>
            </w:pPr>
          </w:p>
          <w:p>
            <w:pPr>
              <w:rPr>
                <w:rFonts w:ascii="宋体" w:hAnsi="宋体" w:eastAsia="宋体" w:cs="Times New Roman"/>
                <w:b/>
                <w:sz w:val="24"/>
                <w:szCs w:val="24"/>
                <w:lang w:val="en-GB"/>
              </w:rPr>
            </w:pPr>
            <w:r>
              <w:rPr>
                <w:rFonts w:hint="eastAsia" w:ascii="宋体" w:hAnsi="宋体" w:eastAsia="宋体" w:cs="Times New Roman"/>
                <w:b/>
                <w:sz w:val="24"/>
                <w:szCs w:val="24"/>
                <w:lang w:val="en-GB"/>
              </w:rPr>
              <w:t>纵向关联：</w:t>
            </w:r>
          </w:p>
          <w:p>
            <w:pPr>
              <w:rPr>
                <w:rFonts w:ascii="宋体" w:hAnsi="宋体" w:eastAsia="宋体" w:cs="Times New Roman"/>
                <w:sz w:val="24"/>
                <w:szCs w:val="24"/>
              </w:rPr>
            </w:pPr>
            <w:r>
              <w:rPr>
                <w:rFonts w:hint="eastAsia" w:ascii="宋体" w:hAnsi="宋体" w:eastAsia="宋体" w:cs="Times New Roman"/>
                <w:sz w:val="24"/>
                <w:szCs w:val="24"/>
              </w:rPr>
              <w:t>上游：</w:t>
            </w:r>
            <w:r>
              <w:rPr>
                <w:rFonts w:ascii="宋体" w:hAnsi="宋体" w:eastAsia="宋体" w:cs="Times New Roman"/>
                <w:sz w:val="24"/>
                <w:szCs w:val="24"/>
              </w:rPr>
              <w:t>2022</w:t>
            </w:r>
            <w:r>
              <w:rPr>
                <w:rFonts w:hint="eastAsia" w:ascii="宋体" w:hAnsi="宋体" w:eastAsia="宋体" w:cs="Times New Roman"/>
                <w:sz w:val="24"/>
                <w:szCs w:val="24"/>
              </w:rPr>
              <w:t>年</w:t>
            </w:r>
            <w:r>
              <w:rPr>
                <w:rFonts w:hint="eastAsia" w:ascii="宋体" w:hAnsi="宋体" w:eastAsia="宋体" w:cs="Times New Roman"/>
                <w:sz w:val="24"/>
                <w:szCs w:val="24"/>
                <w:lang w:val="en-GB"/>
              </w:rPr>
              <w:t>中国境内天然气</w:t>
            </w:r>
            <w:r>
              <w:rPr>
                <w:rFonts w:hint="eastAsia" w:ascii="宋体" w:hAnsi="宋体" w:eastAsia="宋体" w:cs="Times New Roman"/>
                <w:sz w:val="24"/>
                <w:szCs w:val="24"/>
                <w:lang w:val="en-GB" w:eastAsia="zh-CN"/>
              </w:rPr>
              <w:t>压力</w:t>
            </w:r>
            <w:r>
              <w:rPr>
                <w:rFonts w:hint="eastAsia" w:ascii="宋体" w:hAnsi="宋体" w:eastAsia="宋体" w:cs="Times New Roman"/>
                <w:sz w:val="24"/>
                <w:szCs w:val="24"/>
                <w:lang w:val="en-GB"/>
              </w:rPr>
              <w:t>管道检测</w:t>
            </w:r>
            <w:r>
              <w:rPr>
                <w:rFonts w:hint="eastAsia" w:ascii="宋体" w:hAnsi="宋体" w:eastAsia="宋体" w:cs="Times New Roman"/>
                <w:sz w:val="24"/>
                <w:szCs w:val="24"/>
              </w:rPr>
              <w:t>市场</w:t>
            </w:r>
          </w:p>
          <w:p>
            <w:pPr>
              <w:rPr>
                <w:rFonts w:hint="eastAsia" w:ascii="宋体" w:hAnsi="宋体" w:eastAsia="宋体" w:cs="Times New Roman"/>
                <w:sz w:val="24"/>
                <w:szCs w:val="24"/>
                <w:lang w:val="en-GB"/>
              </w:rPr>
            </w:pPr>
            <w:r>
              <w:rPr>
                <w:rFonts w:hint="eastAsia" w:ascii="宋体" w:hAnsi="宋体" w:eastAsia="宋体" w:cs="Times New Roman"/>
                <w:sz w:val="24"/>
                <w:szCs w:val="24"/>
                <w:lang w:val="en-GB"/>
              </w:rPr>
              <w:t>合</w:t>
            </w:r>
            <w:r>
              <w:rPr>
                <w:rFonts w:hint="eastAsia" w:ascii="宋体" w:hAnsi="宋体" w:eastAsia="宋体" w:cs="Times New Roman"/>
                <w:sz w:val="24"/>
                <w:szCs w:val="24"/>
                <w:lang w:val="en-GB" w:eastAsia="zh-CN"/>
              </w:rPr>
              <w:t>营企业</w:t>
            </w:r>
            <w:r>
              <w:rPr>
                <w:rFonts w:hint="eastAsia" w:ascii="宋体" w:hAnsi="宋体" w:eastAsia="宋体" w:cs="Times New Roman"/>
                <w:sz w:val="24"/>
                <w:szCs w:val="24"/>
                <w:lang w:val="en-GB"/>
              </w:rPr>
              <w:t>：0</w:t>
            </w:r>
            <w:r>
              <w:rPr>
                <w:rFonts w:ascii="宋体" w:hAnsi="宋体" w:eastAsia="宋体" w:cs="Times New Roman"/>
                <w:sz w:val="24"/>
                <w:szCs w:val="24"/>
                <w:lang w:val="en-GB"/>
              </w:rPr>
              <w:t>-5%</w:t>
            </w:r>
            <w:r>
              <w:rPr>
                <w:rFonts w:hint="eastAsia" w:ascii="宋体" w:hAnsi="宋体" w:eastAsia="宋体" w:cs="Times New Roman"/>
                <w:sz w:val="24"/>
                <w:szCs w:val="24"/>
                <w:lang w:val="en-GB"/>
              </w:rPr>
              <w:t>（预估）</w:t>
            </w:r>
          </w:p>
          <w:p>
            <w:pPr>
              <w:rPr>
                <w:rFonts w:hint="eastAsia" w:ascii="宋体" w:hAnsi="宋体" w:eastAsia="宋体" w:cs="Times New Roman"/>
                <w:sz w:val="24"/>
                <w:szCs w:val="24"/>
                <w:lang w:val="en-GB"/>
              </w:rPr>
            </w:pPr>
            <w:r>
              <w:rPr>
                <w:rFonts w:hint="eastAsia" w:ascii="宋体" w:hAnsi="宋体" w:eastAsia="宋体" w:cs="Times New Roman"/>
                <w:sz w:val="24"/>
                <w:szCs w:val="24"/>
              </w:rPr>
              <w:t>下游：如上所述</w:t>
            </w:r>
          </w:p>
          <w:p>
            <w:pPr>
              <w:rPr>
                <w:rFonts w:ascii="宋体" w:hAnsi="宋体" w:eastAsia="宋体" w:cs="Times New Roman"/>
                <w:sz w:val="24"/>
                <w:szCs w:val="24"/>
                <w:lang w:val="en-GB"/>
              </w:rPr>
            </w:pPr>
          </w:p>
        </w:tc>
      </w:tr>
    </w:tbl>
    <w:p>
      <w:pPr>
        <w:rPr>
          <w:rFonts w:ascii="仿宋" w:hAnsi="仿宋" w:eastAsia="仿宋" w:cs="Times New Roman"/>
          <w:szCs w:val="24"/>
        </w:rPr>
      </w:pPr>
    </w:p>
    <w:p>
      <w:pPr>
        <w:spacing w:line="480" w:lineRule="auto"/>
        <w:jc w:val="left"/>
        <w:rPr>
          <w:rFonts w:ascii="仿宋" w:hAnsi="仿宋"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true"/>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EB9"/>
    <w:rsid w:val="00007295"/>
    <w:rsid w:val="00010363"/>
    <w:rsid w:val="00010A5C"/>
    <w:rsid w:val="00033ECC"/>
    <w:rsid w:val="00042A8F"/>
    <w:rsid w:val="0004380E"/>
    <w:rsid w:val="000537BB"/>
    <w:rsid w:val="00083899"/>
    <w:rsid w:val="000C2C76"/>
    <w:rsid w:val="000E0F43"/>
    <w:rsid w:val="00191F15"/>
    <w:rsid w:val="001E7797"/>
    <w:rsid w:val="0022489E"/>
    <w:rsid w:val="0022533A"/>
    <w:rsid w:val="00230773"/>
    <w:rsid w:val="00260EC2"/>
    <w:rsid w:val="00275C86"/>
    <w:rsid w:val="00285EA1"/>
    <w:rsid w:val="002A214B"/>
    <w:rsid w:val="002A372E"/>
    <w:rsid w:val="002B74AE"/>
    <w:rsid w:val="002C10D9"/>
    <w:rsid w:val="00316BAF"/>
    <w:rsid w:val="00322D22"/>
    <w:rsid w:val="003C4C35"/>
    <w:rsid w:val="00423EDA"/>
    <w:rsid w:val="004316CE"/>
    <w:rsid w:val="00451E5D"/>
    <w:rsid w:val="00475ED5"/>
    <w:rsid w:val="004E5722"/>
    <w:rsid w:val="005051DC"/>
    <w:rsid w:val="00522D23"/>
    <w:rsid w:val="00552B75"/>
    <w:rsid w:val="00555DFE"/>
    <w:rsid w:val="00561011"/>
    <w:rsid w:val="00563830"/>
    <w:rsid w:val="00563ECC"/>
    <w:rsid w:val="00575C6C"/>
    <w:rsid w:val="0059710A"/>
    <w:rsid w:val="005B42BA"/>
    <w:rsid w:val="005D11B0"/>
    <w:rsid w:val="006307C4"/>
    <w:rsid w:val="00645023"/>
    <w:rsid w:val="00664EB9"/>
    <w:rsid w:val="00671709"/>
    <w:rsid w:val="006A063D"/>
    <w:rsid w:val="006B7E1F"/>
    <w:rsid w:val="006C3629"/>
    <w:rsid w:val="006D1260"/>
    <w:rsid w:val="006D5D8F"/>
    <w:rsid w:val="00706505"/>
    <w:rsid w:val="0072491E"/>
    <w:rsid w:val="007401F9"/>
    <w:rsid w:val="007B2E95"/>
    <w:rsid w:val="007C48D7"/>
    <w:rsid w:val="007D4969"/>
    <w:rsid w:val="007E1D80"/>
    <w:rsid w:val="007E7FD6"/>
    <w:rsid w:val="007F1017"/>
    <w:rsid w:val="00806E42"/>
    <w:rsid w:val="0080731A"/>
    <w:rsid w:val="00810855"/>
    <w:rsid w:val="00814709"/>
    <w:rsid w:val="0083139A"/>
    <w:rsid w:val="008324FB"/>
    <w:rsid w:val="00834655"/>
    <w:rsid w:val="008362B4"/>
    <w:rsid w:val="008B0853"/>
    <w:rsid w:val="008C7F27"/>
    <w:rsid w:val="008D0329"/>
    <w:rsid w:val="008F067E"/>
    <w:rsid w:val="008F717C"/>
    <w:rsid w:val="00911F25"/>
    <w:rsid w:val="009356D1"/>
    <w:rsid w:val="00943624"/>
    <w:rsid w:val="00945C2D"/>
    <w:rsid w:val="00977EE9"/>
    <w:rsid w:val="009808D9"/>
    <w:rsid w:val="00995280"/>
    <w:rsid w:val="009C4A3F"/>
    <w:rsid w:val="009D205A"/>
    <w:rsid w:val="009E628C"/>
    <w:rsid w:val="00A059F8"/>
    <w:rsid w:val="00A0682C"/>
    <w:rsid w:val="00A109E3"/>
    <w:rsid w:val="00A45EE2"/>
    <w:rsid w:val="00A56571"/>
    <w:rsid w:val="00A82EB4"/>
    <w:rsid w:val="00A97C48"/>
    <w:rsid w:val="00AA7BEF"/>
    <w:rsid w:val="00AB2777"/>
    <w:rsid w:val="00AE7A7C"/>
    <w:rsid w:val="00B12337"/>
    <w:rsid w:val="00B904F4"/>
    <w:rsid w:val="00BB06D5"/>
    <w:rsid w:val="00BC7E29"/>
    <w:rsid w:val="00BD5E34"/>
    <w:rsid w:val="00BE7E93"/>
    <w:rsid w:val="00C2128C"/>
    <w:rsid w:val="00C6281F"/>
    <w:rsid w:val="00C66594"/>
    <w:rsid w:val="00C76722"/>
    <w:rsid w:val="00C866FC"/>
    <w:rsid w:val="00C87306"/>
    <w:rsid w:val="00C97A69"/>
    <w:rsid w:val="00D012F6"/>
    <w:rsid w:val="00D0604D"/>
    <w:rsid w:val="00D07C69"/>
    <w:rsid w:val="00D20C88"/>
    <w:rsid w:val="00D4153E"/>
    <w:rsid w:val="00D42190"/>
    <w:rsid w:val="00D44762"/>
    <w:rsid w:val="00D549D5"/>
    <w:rsid w:val="00D82204"/>
    <w:rsid w:val="00DA438E"/>
    <w:rsid w:val="00DA5200"/>
    <w:rsid w:val="00DA7AB8"/>
    <w:rsid w:val="00DB2503"/>
    <w:rsid w:val="00DC08F6"/>
    <w:rsid w:val="00DD69C7"/>
    <w:rsid w:val="00DE48B2"/>
    <w:rsid w:val="00EE2487"/>
    <w:rsid w:val="00EE2ED2"/>
    <w:rsid w:val="00EE6265"/>
    <w:rsid w:val="00F17177"/>
    <w:rsid w:val="00F27E64"/>
    <w:rsid w:val="00F542C9"/>
    <w:rsid w:val="00FB5466"/>
    <w:rsid w:val="00FC3269"/>
    <w:rsid w:val="6DFB8619"/>
    <w:rsid w:val="7773596B"/>
    <w:rsid w:val="77EA00BB"/>
    <w:rsid w:val="78FF3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widowControl/>
      <w:adjustRightInd w:val="0"/>
      <w:snapToGrid w:val="0"/>
      <w:spacing w:line="360" w:lineRule="auto"/>
      <w:jc w:val="left"/>
      <w:outlineLvl w:val="0"/>
    </w:pPr>
    <w:rPr>
      <w:rFonts w:eastAsia="仿宋"/>
      <w:b/>
      <w:bCs/>
      <w:kern w:val="44"/>
      <w:sz w:val="24"/>
      <w:szCs w:val="44"/>
    </w:rPr>
  </w:style>
  <w:style w:type="paragraph" w:styleId="3">
    <w:name w:val="heading 3"/>
    <w:basedOn w:val="1"/>
    <w:next w:val="1"/>
    <w:link w:val="13"/>
    <w:semiHidden/>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0"/>
    <w:qFormat/>
    <w:uiPriority w:val="0"/>
    <w:pPr>
      <w:spacing w:line="360" w:lineRule="auto"/>
      <w:jc w:val="center"/>
      <w:outlineLvl w:val="0"/>
    </w:pPr>
    <w:rPr>
      <w:rFonts w:eastAsia="仿宋" w:asciiTheme="majorHAnsi" w:hAnsiTheme="majorHAnsi" w:cstheme="majorBidi"/>
      <w:b/>
      <w:bCs/>
      <w:sz w:val="30"/>
      <w:szCs w:val="32"/>
    </w:rPr>
  </w:style>
  <w:style w:type="character" w:customStyle="1" w:styleId="9">
    <w:name w:val="标题 1 字符"/>
    <w:link w:val="2"/>
    <w:qFormat/>
    <w:uiPriority w:val="9"/>
    <w:rPr>
      <w:rFonts w:eastAsia="仿宋"/>
      <w:b/>
      <w:bCs/>
      <w:kern w:val="44"/>
      <w:sz w:val="24"/>
      <w:szCs w:val="44"/>
    </w:rPr>
  </w:style>
  <w:style w:type="character" w:customStyle="1" w:styleId="10">
    <w:name w:val="标题 字符"/>
    <w:basedOn w:val="8"/>
    <w:link w:val="6"/>
    <w:qFormat/>
    <w:uiPriority w:val="0"/>
    <w:rPr>
      <w:rFonts w:eastAsia="仿宋" w:asciiTheme="majorHAnsi" w:hAnsiTheme="majorHAnsi" w:cstheme="majorBidi"/>
      <w:b/>
      <w:bCs/>
      <w:sz w:val="30"/>
      <w:szCs w:val="32"/>
    </w:r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标题 3 字符"/>
    <w:basedOn w:val="8"/>
    <w:link w:val="3"/>
    <w:semiHidden/>
    <w:qFormat/>
    <w:uiPriority w:val="9"/>
    <w:rPr>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129</Words>
  <Characters>738</Characters>
  <Lines>6</Lines>
  <Paragraphs>1</Paragraphs>
  <TotalTime>1</TotalTime>
  <ScaleCrop>false</ScaleCrop>
  <LinksUpToDate>false</LinksUpToDate>
  <CharactersWithSpaces>866</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2023-09-13T06:35:00Z</dcterms:created>
  <dc:creator>Kel Yu</dc:creator>
  <cp:lastModifiedBy>scjgj</cp:lastModifiedBy>
  <dcterms:modified xsi:type="dcterms:W3CDTF">2023-11-05T19:15:15Z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