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SimHei" w:hAnsi="SimHei" w:eastAsia="SimHei" w:cs="SimHei"/>
          <w:bCs/>
          <w:sz w:val="36"/>
          <w:szCs w:val="36"/>
        </w:rPr>
      </w:pPr>
      <w:r>
        <w:rPr>
          <w:rFonts w:hint="eastAsia" w:ascii="SimHei" w:hAnsi="SimHei" w:eastAsia="SimHei" w:cs="SimHei"/>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rPr>
            </w:pPr>
            <w:r>
              <w:rPr>
                <w:rFonts w:hint="eastAsia" w:ascii="宋体" w:hAnsi="宋体" w:cs="宋体"/>
                <w:bCs/>
                <w:color w:val="000000"/>
              </w:rPr>
              <w:t>案件名称</w:t>
            </w:r>
          </w:p>
        </w:tc>
        <w:tc>
          <w:tcPr>
            <w:tcW w:w="7700" w:type="dxa"/>
            <w:gridSpan w:val="2"/>
            <w:vAlign w:val="center"/>
          </w:tcPr>
          <w:p>
            <w:pPr>
              <w:adjustRightInd w:val="0"/>
              <w:snapToGrid w:val="0"/>
              <w:spacing w:after="0"/>
              <w:rPr>
                <w:rFonts w:ascii="宋体" w:hAnsi="宋体" w:cs="宋体"/>
                <w:bCs/>
                <w:color w:val="000000"/>
                <w:lang w:val="en-US"/>
              </w:rPr>
            </w:pPr>
            <w:r>
              <w:rPr>
                <w:rFonts w:hint="eastAsia" w:asciiTheme="minorHAnsi" w:hAnsiTheme="minorHAnsi" w:cstheme="minorBidi"/>
              </w:rPr>
              <w:t>阿布扎比国家石油公司收购道达尔能源股份公司和阿塞拜疆共和国国家石油公司部分业务案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vAlign w:val="center"/>
          </w:tcPr>
          <w:p>
            <w:pPr>
              <w:widowControl w:val="0"/>
              <w:adjustRightInd w:val="0"/>
              <w:snapToGrid w:val="0"/>
              <w:spacing w:after="0"/>
              <w:rPr>
                <w:rFonts w:ascii="宋体" w:hAnsi="宋体" w:cs="宋体"/>
              </w:rPr>
            </w:pPr>
            <w:r>
              <w:rPr>
                <w:rFonts w:hint="eastAsia" w:ascii="宋体" w:hAnsi="宋体" w:cs="宋体"/>
              </w:rPr>
              <w:t>根据股份购买协议，阿布扎比国家石油公司（“</w:t>
            </w:r>
            <w:r>
              <w:rPr>
                <w:rFonts w:hint="eastAsia" w:ascii="宋体" w:hAnsi="宋体" w:cs="宋体"/>
                <w:b/>
                <w:bCs/>
              </w:rPr>
              <w:t>阿布扎比石油</w:t>
            </w:r>
            <w:r>
              <w:rPr>
                <w:rFonts w:hint="eastAsia" w:ascii="宋体" w:hAnsi="宋体" w:cs="宋体"/>
              </w:rPr>
              <w:t>”）将通过一个收购工具收购阿布歇隆石油联合运营公司（“</w:t>
            </w:r>
            <w:r>
              <w:rPr>
                <w:rFonts w:hint="eastAsia" w:ascii="宋体" w:hAnsi="宋体" w:cs="宋体"/>
                <w:b/>
                <w:bCs/>
              </w:rPr>
              <w:t>联合运营公司</w:t>
            </w:r>
            <w:r>
              <w:rPr>
                <w:rFonts w:hint="eastAsia" w:ascii="宋体" w:hAnsi="宋体" w:cs="宋体"/>
              </w:rPr>
              <w:t>”）的30%股份以及阿布歇隆天然气和凝析油田的权益（合称</w:t>
            </w:r>
            <w:r>
              <w:rPr>
                <w:rFonts w:hint="eastAsia" w:ascii="宋体" w:hAnsi="宋体" w:cs="宋体"/>
                <w:bCs/>
                <w:color w:val="000000"/>
                <w:lang w:val="en-US"/>
              </w:rPr>
              <w:t>“</w:t>
            </w:r>
            <w:r>
              <w:rPr>
                <w:rFonts w:hint="eastAsia" w:ascii="宋体" w:hAnsi="宋体" w:cs="宋体"/>
                <w:b/>
                <w:bCs/>
              </w:rPr>
              <w:t>特许权</w:t>
            </w:r>
            <w:r>
              <w:rPr>
                <w:rFonts w:hint="eastAsia" w:ascii="宋体" w:hAnsi="宋体" w:cs="宋体"/>
                <w:bCs/>
                <w:color w:val="000000"/>
                <w:lang w:val="en-US"/>
              </w:rPr>
              <w:t>”</w:t>
            </w:r>
            <w:r>
              <w:rPr>
                <w:rFonts w:hint="eastAsia" w:ascii="宋体" w:hAnsi="宋体" w:cs="宋体"/>
              </w:rPr>
              <w:t>）。联合运营公司是阿布歇隆气田和凝析油田的天然气和凝析油生产和潜在销售的特许权运营公司。在本交易实施前，特许权（包括联合运营公司）由道达尔能源股份公司（</w:t>
            </w:r>
            <w:r>
              <w:rPr>
                <w:rFonts w:hint="eastAsia" w:ascii="宋体" w:hAnsi="宋体" w:cs="宋体"/>
                <w:bCs/>
                <w:color w:val="000000"/>
                <w:lang w:val="en-US"/>
              </w:rPr>
              <w:t>“</w:t>
            </w:r>
            <w:r>
              <w:rPr>
                <w:rFonts w:hint="eastAsia" w:ascii="宋体" w:hAnsi="宋体" w:cs="宋体"/>
                <w:b/>
                <w:bCs/>
              </w:rPr>
              <w:t>道达尔能源</w:t>
            </w:r>
            <w:r>
              <w:rPr>
                <w:rFonts w:hint="eastAsia" w:ascii="宋体" w:hAnsi="宋体" w:cs="宋体"/>
                <w:bCs/>
                <w:color w:val="000000"/>
                <w:lang w:val="en-US"/>
              </w:rPr>
              <w:t>”</w:t>
            </w:r>
            <w:r>
              <w:rPr>
                <w:rFonts w:hint="eastAsia" w:ascii="宋体" w:hAnsi="宋体" w:cs="宋体"/>
              </w:rPr>
              <w:t>）和阿塞拜疆共和国国家石油公司（“</w:t>
            </w:r>
            <w:r>
              <w:rPr>
                <w:rFonts w:hint="eastAsia" w:ascii="宋体" w:hAnsi="宋体" w:cs="宋体"/>
                <w:b/>
                <w:bCs/>
              </w:rPr>
              <w:t>阿塞拜疆石油</w:t>
            </w:r>
            <w:r>
              <w:rPr>
                <w:rFonts w:hint="eastAsia" w:ascii="宋体" w:hAnsi="宋体" w:cs="宋体"/>
              </w:rPr>
              <w:t>”）按50：50的比例最终共同控制。在本交易完成后，特许权（包括联合运营公司）将由阿布扎比石油、道达尔能源和阿塞拜疆石油按照3</w:t>
            </w:r>
            <w:r>
              <w:rPr>
                <w:rFonts w:ascii="宋体" w:hAnsi="宋体" w:cs="宋体"/>
              </w:rPr>
              <w:t>0</w:t>
            </w:r>
            <w:r>
              <w:rPr>
                <w:rFonts w:hint="eastAsia" w:ascii="宋体" w:hAnsi="宋体" w:cs="宋体"/>
              </w:rPr>
              <w:t>%、</w:t>
            </w:r>
            <w:r>
              <w:rPr>
                <w:rFonts w:ascii="宋体" w:hAnsi="宋体" w:cs="宋体"/>
              </w:rPr>
              <w:t>35%</w:t>
            </w:r>
            <w:r>
              <w:rPr>
                <w:rFonts w:hint="eastAsia" w:ascii="宋体" w:hAnsi="宋体" w:cs="宋体"/>
              </w:rPr>
              <w:t>和</w:t>
            </w:r>
            <w:r>
              <w:rPr>
                <w:rFonts w:ascii="宋体" w:hAnsi="宋体" w:cs="宋体"/>
              </w:rPr>
              <w:t>35%</w:t>
            </w:r>
            <w:r>
              <w:rPr>
                <w:rFonts w:hint="eastAsia" w:ascii="宋体" w:hAnsi="宋体" w:cs="宋体"/>
              </w:rPr>
              <w:t>的比例最终共同控制。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参与集中的经营者简介（每个限</w:t>
            </w:r>
            <w:r>
              <w:rPr>
                <w:rFonts w:hint="eastAsia" w:ascii="宋体" w:hAnsi="宋体" w:cs="宋体"/>
                <w:bCs/>
                <w:color w:val="000000"/>
                <w:lang w:val="en-US" w:eastAsia="zh-CN"/>
              </w:rPr>
              <w:t>100字以内</w:t>
            </w:r>
            <w:r>
              <w:rPr>
                <w:rFonts w:hint="eastAsia" w:ascii="宋体" w:hAnsi="宋体" w:cs="宋体"/>
                <w:bCs/>
                <w:color w:val="000000"/>
                <w:lang w:eastAsia="zh-CN"/>
              </w:rPr>
              <w:t>）</w:t>
            </w:r>
          </w:p>
        </w:tc>
        <w:tc>
          <w:tcPr>
            <w:tcW w:w="1607" w:type="dxa"/>
            <w:vAlign w:val="center"/>
          </w:tcPr>
          <w:p>
            <w:pPr>
              <w:pStyle w:val="5"/>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1.</w:t>
            </w:r>
            <w:r>
              <w:rPr>
                <w:rFonts w:hint="eastAsia" w:ascii="宋体" w:hAnsi="宋体" w:cs="宋体"/>
                <w:bCs/>
                <w:color w:val="000000"/>
                <w:lang w:eastAsia="zh-CN"/>
              </w:rPr>
              <w:t>阿布扎比石油</w:t>
            </w:r>
          </w:p>
        </w:tc>
        <w:tc>
          <w:tcPr>
            <w:tcW w:w="6093" w:type="dxa"/>
            <w:vAlign w:val="center"/>
          </w:tcPr>
          <w:p>
            <w:pPr>
              <w:pStyle w:val="5"/>
              <w:adjustRightInd w:val="0"/>
              <w:snapToGrid w:val="0"/>
              <w:spacing w:after="0"/>
              <w:rPr>
                <w:rFonts w:ascii="宋体" w:hAnsi="宋体" w:cs="宋体"/>
                <w:bCs/>
                <w:color w:val="000000"/>
                <w:lang w:eastAsia="zh-CN"/>
              </w:rPr>
            </w:pPr>
            <w:r>
              <w:rPr>
                <w:rFonts w:hint="eastAsia" w:ascii="宋体" w:hAnsi="宋体" w:cs="宋体"/>
                <w:bCs/>
                <w:color w:val="000000"/>
                <w:lang w:eastAsia="zh-CN"/>
              </w:rPr>
              <w:t>阿布扎比石油于1971年11月27日在阿联酋阿布扎比成立。阿布扎比石油主要从事石油和天然气的勘探、生产、储存、精炼和分销，以及石化产品的开发。</w:t>
            </w:r>
          </w:p>
          <w:p>
            <w:pPr>
              <w:pStyle w:val="5"/>
              <w:adjustRightInd w:val="0"/>
              <w:snapToGrid w:val="0"/>
              <w:spacing w:after="0"/>
              <w:rPr>
                <w:rFonts w:ascii="宋体" w:hAnsi="宋体" w:cs="宋体"/>
                <w:bCs/>
                <w:color w:val="000000"/>
                <w:lang w:eastAsia="zh-CN"/>
              </w:rPr>
            </w:pPr>
          </w:p>
          <w:p>
            <w:pPr>
              <w:pStyle w:val="5"/>
              <w:adjustRightInd w:val="0"/>
              <w:snapToGrid w:val="0"/>
              <w:spacing w:after="0"/>
              <w:rPr>
                <w:rFonts w:ascii="宋体" w:hAnsi="宋体" w:cs="宋体"/>
                <w:bCs/>
                <w:color w:val="000000"/>
                <w:lang w:eastAsia="zh-CN"/>
              </w:rPr>
            </w:pPr>
            <w:r>
              <w:rPr>
                <w:rFonts w:hint="eastAsia" w:ascii="宋体" w:hAnsi="宋体" w:cs="宋体"/>
                <w:bCs/>
                <w:color w:val="000000"/>
                <w:lang w:eastAsia="zh-CN"/>
              </w:rPr>
              <w:t>阿布扎比石油的最终控制人为阿布扎比酋长国政府。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1607" w:type="dxa"/>
            <w:vAlign w:val="center"/>
          </w:tcPr>
          <w:p>
            <w:pPr>
              <w:pStyle w:val="5"/>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2.</w:t>
            </w:r>
            <w:r>
              <w:rPr>
                <w:rFonts w:hint="eastAsia" w:ascii="宋体" w:hAnsi="宋体" w:cs="宋体"/>
                <w:bCs/>
                <w:color w:val="000000"/>
                <w:lang w:eastAsia="zh-CN"/>
              </w:rPr>
              <w:t>道达尔能源</w:t>
            </w:r>
          </w:p>
          <w:p>
            <w:pPr>
              <w:pStyle w:val="5"/>
              <w:adjustRightInd w:val="0"/>
              <w:snapToGrid w:val="0"/>
              <w:spacing w:after="0"/>
              <w:rPr>
                <w:rFonts w:ascii="宋体" w:hAnsi="宋体" w:cs="宋体"/>
                <w:bCs/>
                <w:color w:val="000000"/>
                <w:lang w:eastAsia="zh-CN"/>
              </w:rPr>
            </w:pPr>
          </w:p>
        </w:tc>
        <w:tc>
          <w:tcPr>
            <w:tcW w:w="6093" w:type="dxa"/>
            <w:vAlign w:val="center"/>
          </w:tcPr>
          <w:p>
            <w:pPr>
              <w:adjustRightInd w:val="0"/>
              <w:snapToGrid w:val="0"/>
              <w:spacing w:after="0"/>
              <w:rPr>
                <w:rFonts w:ascii="宋体" w:hAnsi="宋体" w:cs="宋体"/>
              </w:rPr>
            </w:pPr>
            <w:r>
              <w:rPr>
                <w:rFonts w:hint="eastAsia" w:ascii="宋体" w:hAnsi="宋体" w:cs="宋体"/>
              </w:rPr>
              <w:t>道达尔能源于1924年3月28日在法国成立，并在巴黎、纽约、伦敦和布鲁塞尔证券交易所上市。道达尔能源主要从事石油和天然气行业业务，还涉足可再生能源、发电行业和碳中和业务。</w:t>
            </w:r>
          </w:p>
          <w:p>
            <w:pPr>
              <w:adjustRightInd w:val="0"/>
              <w:snapToGrid w:val="0"/>
              <w:spacing w:after="0"/>
              <w:rPr>
                <w:rFonts w:ascii="宋体" w:hAnsi="宋体" w:cs="宋体"/>
                <w:highlight w:val="yellow"/>
              </w:rPr>
            </w:pPr>
          </w:p>
          <w:p>
            <w:pPr>
              <w:adjustRightInd w:val="0"/>
              <w:snapToGrid w:val="0"/>
              <w:spacing w:after="0"/>
              <w:rPr>
                <w:rFonts w:ascii="宋体" w:hAnsi="宋体" w:cs="宋体"/>
              </w:rPr>
            </w:pPr>
            <w:r>
              <w:rPr>
                <w:rFonts w:hint="eastAsia" w:ascii="宋体" w:hAnsi="宋体" w:cs="宋体"/>
              </w:rPr>
              <w:t>道达尔能源无最终控制人。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1607" w:type="dxa"/>
            <w:vAlign w:val="center"/>
          </w:tcPr>
          <w:p>
            <w:pPr>
              <w:pStyle w:val="5"/>
              <w:adjustRightInd w:val="0"/>
              <w:snapToGrid w:val="0"/>
              <w:spacing w:after="0"/>
              <w:rPr>
                <w:rFonts w:ascii="宋体" w:hAnsi="宋体" w:cs="宋体"/>
                <w:bCs/>
                <w:color w:val="000000"/>
                <w:lang w:eastAsia="zh-CN"/>
              </w:rPr>
            </w:pPr>
            <w:r>
              <w:rPr>
                <w:rFonts w:ascii="宋体" w:hAnsi="宋体" w:cs="宋体"/>
                <w:bCs/>
                <w:color w:val="000000"/>
                <w:lang w:val="en-US" w:eastAsia="zh-CN"/>
              </w:rPr>
              <w:t>3</w:t>
            </w:r>
            <w:r>
              <w:rPr>
                <w:rFonts w:hint="eastAsia" w:ascii="宋体" w:hAnsi="宋体" w:cs="宋体"/>
                <w:bCs/>
                <w:color w:val="000000"/>
                <w:lang w:val="en-US" w:eastAsia="zh-CN"/>
              </w:rPr>
              <w:t>.阿塞拜疆石油</w:t>
            </w:r>
          </w:p>
        </w:tc>
        <w:tc>
          <w:tcPr>
            <w:tcW w:w="6093" w:type="dxa"/>
            <w:vAlign w:val="center"/>
          </w:tcPr>
          <w:p>
            <w:pPr>
              <w:adjustRightInd w:val="0"/>
              <w:snapToGrid w:val="0"/>
              <w:spacing w:after="0"/>
              <w:rPr>
                <w:rFonts w:ascii="宋体" w:hAnsi="宋体" w:cs="宋体"/>
              </w:rPr>
            </w:pPr>
            <w:r>
              <w:rPr>
                <w:rFonts w:hint="eastAsia" w:ascii="宋体" w:hAnsi="宋体" w:cs="宋体"/>
              </w:rPr>
              <w:t>阿塞拜疆石油于1992年9月13日在阿塞拜疆成立。阿塞拜疆石油主要从事里海阿塞拜疆段陆上和海上油田的石油和天然气生产。</w:t>
            </w:r>
          </w:p>
          <w:p>
            <w:pPr>
              <w:adjustRightInd w:val="0"/>
              <w:snapToGrid w:val="0"/>
              <w:spacing w:after="0"/>
              <w:rPr>
                <w:rFonts w:ascii="宋体" w:hAnsi="宋体" w:cs="宋体"/>
              </w:rPr>
            </w:pPr>
          </w:p>
          <w:p>
            <w:pPr>
              <w:adjustRightInd w:val="0"/>
              <w:snapToGrid w:val="0"/>
              <w:spacing w:after="0"/>
              <w:rPr>
                <w:rFonts w:ascii="宋体" w:hAnsi="宋体" w:cs="宋体"/>
              </w:rPr>
            </w:pPr>
            <w:r>
              <w:rPr>
                <w:rFonts w:hint="eastAsia" w:ascii="宋体" w:hAnsi="宋体" w:cs="宋体"/>
              </w:rPr>
              <w:t>阿塞拜疆石油的最终控制人为阿塞拜疆共和国。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1607" w:type="dxa"/>
            <w:vAlign w:val="center"/>
          </w:tcPr>
          <w:p>
            <w:pPr>
              <w:pStyle w:val="5"/>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4.</w:t>
            </w:r>
            <w:r>
              <w:rPr>
                <w:rFonts w:hint="eastAsia" w:ascii="宋体" w:hAnsi="宋体" w:cs="宋体"/>
                <w:bCs/>
                <w:color w:val="000000"/>
                <w:lang w:val="en-US" w:eastAsia="zh-CN"/>
              </w:rPr>
              <w:t>联合运营公司</w:t>
            </w:r>
          </w:p>
        </w:tc>
        <w:tc>
          <w:tcPr>
            <w:tcW w:w="6093" w:type="dxa"/>
            <w:vAlign w:val="center"/>
          </w:tcPr>
          <w:p>
            <w:pPr>
              <w:adjustRightInd w:val="0"/>
              <w:snapToGrid w:val="0"/>
              <w:spacing w:after="0"/>
              <w:rPr>
                <w:rFonts w:ascii="宋体" w:hAnsi="宋体" w:cs="宋体"/>
                <w:bCs/>
                <w:color w:val="000000"/>
                <w:lang w:val="en-US"/>
              </w:rPr>
            </w:pPr>
            <w:r>
              <w:rPr>
                <w:rFonts w:hint="eastAsia" w:ascii="宋体" w:hAnsi="宋体" w:cs="宋体"/>
                <w:bCs/>
                <w:color w:val="000000"/>
                <w:lang w:val="en-US"/>
              </w:rPr>
              <w:t>联合运营公司于2018年3月20日在荷兰成立。联合运营公司是阿布歇隆气田和凝析油田的天然气和凝析油生产和潜在销售的特许权运营公司。</w:t>
            </w:r>
          </w:p>
          <w:p>
            <w:pPr>
              <w:adjustRightInd w:val="0"/>
              <w:snapToGrid w:val="0"/>
              <w:spacing w:after="0"/>
              <w:rPr>
                <w:rFonts w:ascii="宋体" w:hAnsi="宋体" w:cs="宋体"/>
                <w:bCs/>
                <w:color w:val="000000"/>
                <w:lang w:val="en-US"/>
              </w:rPr>
            </w:pPr>
          </w:p>
          <w:p>
            <w:pPr>
              <w:adjustRightInd w:val="0"/>
              <w:snapToGrid w:val="0"/>
              <w:spacing w:after="0"/>
              <w:rPr>
                <w:rFonts w:ascii="宋体" w:hAnsi="宋体" w:cs="宋体"/>
                <w:bCs/>
                <w:color w:val="000000"/>
                <w:lang w:val="en-US"/>
              </w:rPr>
            </w:pPr>
            <w:r>
              <w:rPr>
                <w:rFonts w:hint="eastAsia" w:ascii="宋体" w:hAnsi="宋体" w:cs="宋体"/>
                <w:bCs/>
                <w:color w:val="000000"/>
                <w:lang w:val="en-US"/>
              </w:rPr>
              <w:t>联合运营公司的最终控制人为道达尔能源和阿塞拜疆石油。道达尔能源主要从事石油和天然气行业业务，还涉足可再生能源、发电行业和碳中和业务。阿塞拜疆石油主要从事里海阿塞拜疆段陆上和海上油田的石油和天然气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vAlign w:val="center"/>
          </w:tcPr>
          <w:p>
            <w:pPr>
              <w:adjustRightInd w:val="0"/>
              <w:snapToGrid w:val="0"/>
              <w:spacing w:line="500" w:lineRule="exact"/>
              <w:rPr>
                <w:rFonts w:ascii="宋体" w:hAnsi="宋体"/>
                <w:b/>
                <w:bCs/>
                <w:color w:val="333333"/>
              </w:rPr>
            </w:pPr>
            <w:r>
              <w:rPr>
                <w:rFonts w:hint="eastAsia" w:ascii="宋体" w:hAnsi="宋体"/>
                <w:b/>
                <w:bCs/>
                <w:color w:val="333333"/>
              </w:rPr>
              <w:t>横向重叠：</w:t>
            </w:r>
          </w:p>
          <w:p>
            <w:pPr>
              <w:pStyle w:val="5"/>
              <w:numPr>
                <w:ilvl w:val="0"/>
                <w:numId w:val="4"/>
              </w:numPr>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2022</w:t>
            </w:r>
            <w:r>
              <w:rPr>
                <w:rFonts w:hint="eastAsia" w:ascii="宋体" w:hAnsi="宋体" w:cs="宋体"/>
                <w:bCs/>
                <w:color w:val="000000"/>
                <w:lang w:val="en-US" w:eastAsia="zh-CN"/>
              </w:rPr>
              <w:t>年</w:t>
            </w:r>
            <w:r>
              <w:rPr>
                <w:rFonts w:hint="eastAsia" w:ascii="宋体" w:hAnsi="宋体" w:cs="宋体"/>
                <w:bCs/>
                <w:color w:val="000000"/>
                <w:lang w:eastAsia="zh-CN"/>
              </w:rPr>
              <w:t>全球天然气生产和供应</w:t>
            </w:r>
            <w:r>
              <w:rPr>
                <w:rFonts w:hint="eastAsia" w:ascii="宋体" w:hAnsi="宋体" w:cs="宋体"/>
                <w:bCs/>
                <w:color w:val="000000"/>
                <w:lang w:val="en-US" w:eastAsia="zh-CN"/>
              </w:rPr>
              <w:t>市场：</w:t>
            </w:r>
          </w:p>
          <w:p>
            <w:pPr>
              <w:pStyle w:val="5"/>
              <w:adjustRightInd w:val="0"/>
              <w:snapToGrid w:val="0"/>
              <w:spacing w:after="0"/>
              <w:ind w:left="720"/>
              <w:rPr>
                <w:rFonts w:ascii="宋体" w:hAnsi="宋体" w:cs="宋体"/>
                <w:bCs/>
                <w:color w:val="000000"/>
                <w:lang w:val="en-US" w:eastAsia="zh-CN"/>
              </w:rPr>
            </w:pPr>
            <w:r>
              <w:rPr>
                <w:rFonts w:hint="eastAsia" w:ascii="宋体" w:hAnsi="宋体" w:cs="宋体"/>
                <w:bCs/>
                <w:color w:val="000000"/>
                <w:lang w:val="en-US" w:eastAsia="zh-CN"/>
              </w:rPr>
              <w:t>阿布扎比石油集团：0-5%，道达尔能源集团：0-5%，阿塞拜疆石油集团：0-5%，联合运营公司：0-5%，各方合计：5-10</w:t>
            </w:r>
            <w:bookmarkStart w:id="0" w:name="_GoBack"/>
            <w:bookmarkEnd w:id="0"/>
            <w:r>
              <w:rPr>
                <w:rFonts w:hint="eastAsia" w:ascii="宋体" w:hAnsi="宋体" w:cs="宋体"/>
                <w:bCs/>
                <w:color w:val="000000"/>
                <w:lang w:val="en-US" w:eastAsia="zh-CN"/>
              </w:rPr>
              <w:t>%</w:t>
            </w:r>
          </w:p>
          <w:p>
            <w:pPr>
              <w:pStyle w:val="5"/>
              <w:adjustRightInd w:val="0"/>
              <w:snapToGrid w:val="0"/>
              <w:spacing w:after="0"/>
              <w:rPr>
                <w:rFonts w:ascii="宋体" w:hAnsi="宋体" w:cs="宋体"/>
                <w:bCs/>
                <w:color w:val="000000"/>
                <w:lang w:val="en-US" w:eastAsia="zh-CN"/>
              </w:rPr>
            </w:pPr>
          </w:p>
          <w:p>
            <w:pPr>
              <w:pStyle w:val="5"/>
              <w:numPr>
                <w:ilvl w:val="0"/>
                <w:numId w:val="4"/>
              </w:numPr>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2022</w:t>
            </w:r>
            <w:r>
              <w:rPr>
                <w:rFonts w:hint="eastAsia" w:ascii="宋体" w:hAnsi="宋体" w:cs="宋体"/>
                <w:bCs/>
                <w:color w:val="000000"/>
                <w:lang w:val="en-US" w:eastAsia="zh-CN"/>
              </w:rPr>
              <w:t>年</w:t>
            </w:r>
            <w:r>
              <w:rPr>
                <w:rFonts w:hint="eastAsia" w:ascii="宋体" w:hAnsi="宋体" w:cs="宋体"/>
                <w:bCs/>
                <w:color w:val="000000"/>
                <w:lang w:eastAsia="zh-CN"/>
              </w:rPr>
              <w:t>全球原油（含凝析油）生产和供应市场</w:t>
            </w:r>
            <w:r>
              <w:rPr>
                <w:rFonts w:hint="eastAsia" w:ascii="宋体" w:hAnsi="宋体" w:cs="宋体"/>
                <w:bCs/>
                <w:color w:val="000000"/>
                <w:lang w:val="en-US" w:eastAsia="zh-CN"/>
              </w:rPr>
              <w:t>：</w:t>
            </w:r>
          </w:p>
          <w:p>
            <w:pPr>
              <w:pStyle w:val="5"/>
              <w:adjustRightInd w:val="0"/>
              <w:snapToGrid w:val="0"/>
              <w:spacing w:after="0"/>
              <w:ind w:left="720"/>
              <w:rPr>
                <w:rFonts w:ascii="宋体" w:hAnsi="宋体" w:cs="宋体"/>
                <w:bCs/>
                <w:color w:val="000000"/>
                <w:lang w:val="en-US" w:eastAsia="zh-CN"/>
              </w:rPr>
            </w:pPr>
            <w:r>
              <w:rPr>
                <w:rFonts w:hint="eastAsia" w:ascii="宋体" w:hAnsi="宋体" w:cs="宋体"/>
                <w:bCs/>
                <w:color w:val="000000"/>
                <w:lang w:val="en-US" w:eastAsia="zh-CN"/>
              </w:rPr>
              <w:t>阿布扎比石油集团：0-5%，道达尔能源集团：0-5%，阿塞拜疆石油集团：0-5%，联合运营公司：0-5%，各方合计：5</w:t>
            </w:r>
            <w:r>
              <w:rPr>
                <w:rFonts w:ascii="宋体" w:hAnsi="宋体" w:cs="宋体"/>
                <w:bCs/>
                <w:color w:val="000000"/>
                <w:lang w:val="en-US" w:eastAsia="zh-CN"/>
              </w:rPr>
              <w:t>-10</w:t>
            </w:r>
            <w:r>
              <w:rPr>
                <w:rFonts w:hint="eastAsia" w:ascii="宋体" w:hAnsi="宋体" w:cs="宋体"/>
                <w:bCs/>
                <w:color w:val="000000"/>
                <w:lang w:val="en-US" w:eastAsia="zh-CN"/>
              </w:rPr>
              <w:t>%</w:t>
            </w:r>
          </w:p>
          <w:p>
            <w:pPr>
              <w:pStyle w:val="5"/>
              <w:adjustRightInd w:val="0"/>
              <w:snapToGrid w:val="0"/>
              <w:spacing w:after="0"/>
              <w:rPr>
                <w:rFonts w:ascii="宋体" w:hAnsi="宋体" w:cs="宋体"/>
                <w:bCs/>
                <w:color w:val="000000"/>
                <w:lang w:val="en-US" w:eastAsia="zh-CN"/>
              </w:rPr>
            </w:pPr>
          </w:p>
        </w:tc>
      </w:tr>
    </w:tbl>
    <w:p>
      <w:pPr>
        <w:pStyle w:val="5"/>
        <w:rPr>
          <w:rFonts w:ascii="宋体" w:hAnsi="宋体" w:cs="宋体"/>
          <w:bCs/>
          <w:color w:val="000000"/>
          <w:sz w:val="28"/>
          <w:szCs w:val="28"/>
          <w:lang w:eastAsia="zh-CN"/>
        </w:rPr>
      </w:pPr>
    </w:p>
    <w:sectPr>
      <w:footerReference r:id="rId3" w:type="default"/>
      <w:pgSz w:w="11906" w:h="16838"/>
      <w:pgMar w:top="1440" w:right="1440" w:bottom="1276" w:left="1440" w:header="720" w:footer="34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Simplified Arabic">
    <w:altName w:val="Times New Roman"/>
    <w:panose1 w:val="00000000000000000000"/>
    <w:charset w:val="B2"/>
    <w:family w:val="roman"/>
    <w:pitch w:val="default"/>
    <w:sig w:usb0="00000000" w:usb1="00000000" w:usb2="00000008" w:usb3="00000000" w:csb0="00000041" w:csb1="00000000"/>
  </w:font>
  <w:font w:name="Courier New">
    <w:altName w:val="DejaVu Sans"/>
    <w:panose1 w:val="02070309020205020404"/>
    <w:charset w:val="00"/>
    <w:family w:val="modern"/>
    <w:pitch w:val="default"/>
    <w:sig w:usb0="00000000" w:usb1="00000000" w:usb2="00000009" w:usb3="00000000" w:csb0="000001FF" w:csb1="00000000"/>
  </w:font>
  <w:font w:name="Tahoma">
    <w:altName w:val="Droid Sans"/>
    <w:panose1 w:val="020B0604030504040204"/>
    <w:charset w:val="00"/>
    <w:family w:val="swiss"/>
    <w:pitch w:val="default"/>
    <w:sig w:usb0="00000000" w:usb1="00000000" w:usb2="00000029" w:usb3="00000000" w:csb0="000101FF" w:csb1="00000000"/>
  </w:font>
  <w:font w:name="FangSong_GB2312">
    <w:panose1 w:val="02010609030101010101"/>
    <w:charset w:val="86"/>
    <w:family w:val="modern"/>
    <w:pitch w:val="default"/>
    <w:sig w:usb0="00000001" w:usb1="080E0000" w:usb2="00000000" w:usb3="00000000" w:csb0="00040000" w:csb1="00000000"/>
  </w:font>
  <w:font w:name="SimHei">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微软雅黑">
    <w:panose1 w:val="020B0503020204020204"/>
    <w:charset w:val="86"/>
    <w:family w:val="auto"/>
    <w:pitch w:val="default"/>
    <w:sig w:usb0="80000287" w:usb1="2A0F3C52" w:usb2="00000016" w:usb3="00000000" w:csb0="0004001F" w:csb1="00000000"/>
  </w:font>
  <w:font w:name="Droid Sans">
    <w:panose1 w:val="020B0606030804020204"/>
    <w:charset w:val="00"/>
    <w:family w:val="auto"/>
    <w:pitch w:val="default"/>
    <w:sig w:usb0="E00002EF" w:usb1="4000205B" w:usb2="00000028"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rPr>
            <w:t>2</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50367718"/>
    <w:multiLevelType w:val="multilevel"/>
    <w:tmpl w:val="5036771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1D78"/>
    <w:rsid w:val="000024FF"/>
    <w:rsid w:val="000027BD"/>
    <w:rsid w:val="000150B7"/>
    <w:rsid w:val="00021AB2"/>
    <w:rsid w:val="000236AF"/>
    <w:rsid w:val="000326C8"/>
    <w:rsid w:val="00041C40"/>
    <w:rsid w:val="0004292A"/>
    <w:rsid w:val="000467AA"/>
    <w:rsid w:val="00062616"/>
    <w:rsid w:val="000640A8"/>
    <w:rsid w:val="000725CA"/>
    <w:rsid w:val="00073E6B"/>
    <w:rsid w:val="00075481"/>
    <w:rsid w:val="00075D5C"/>
    <w:rsid w:val="0007723F"/>
    <w:rsid w:val="00077D60"/>
    <w:rsid w:val="00082608"/>
    <w:rsid w:val="00083590"/>
    <w:rsid w:val="000910BF"/>
    <w:rsid w:val="00092F4E"/>
    <w:rsid w:val="00094794"/>
    <w:rsid w:val="000A1046"/>
    <w:rsid w:val="000A6A0D"/>
    <w:rsid w:val="000A7357"/>
    <w:rsid w:val="000B58E5"/>
    <w:rsid w:val="000B653C"/>
    <w:rsid w:val="000C3B95"/>
    <w:rsid w:val="000C6953"/>
    <w:rsid w:val="000E29A9"/>
    <w:rsid w:val="000E3A81"/>
    <w:rsid w:val="0010351D"/>
    <w:rsid w:val="00107E19"/>
    <w:rsid w:val="00107FD3"/>
    <w:rsid w:val="00115F62"/>
    <w:rsid w:val="00123E26"/>
    <w:rsid w:val="0013127B"/>
    <w:rsid w:val="001451B6"/>
    <w:rsid w:val="00145B05"/>
    <w:rsid w:val="001501EE"/>
    <w:rsid w:val="00153E45"/>
    <w:rsid w:val="00157933"/>
    <w:rsid w:val="00162E59"/>
    <w:rsid w:val="001639D8"/>
    <w:rsid w:val="001672E1"/>
    <w:rsid w:val="00167E95"/>
    <w:rsid w:val="00172A63"/>
    <w:rsid w:val="00186A05"/>
    <w:rsid w:val="0019131C"/>
    <w:rsid w:val="001965E2"/>
    <w:rsid w:val="001A1098"/>
    <w:rsid w:val="001A3FDC"/>
    <w:rsid w:val="001B4EA1"/>
    <w:rsid w:val="001C4FB2"/>
    <w:rsid w:val="001C5840"/>
    <w:rsid w:val="001C679D"/>
    <w:rsid w:val="001D1555"/>
    <w:rsid w:val="001D58AE"/>
    <w:rsid w:val="001D6168"/>
    <w:rsid w:val="001E0F1F"/>
    <w:rsid w:val="001E5BC1"/>
    <w:rsid w:val="001F346E"/>
    <w:rsid w:val="001F35AA"/>
    <w:rsid w:val="001F367B"/>
    <w:rsid w:val="00217866"/>
    <w:rsid w:val="00224A7C"/>
    <w:rsid w:val="002278D1"/>
    <w:rsid w:val="00231665"/>
    <w:rsid w:val="00233737"/>
    <w:rsid w:val="00236A13"/>
    <w:rsid w:val="002403B5"/>
    <w:rsid w:val="0024057D"/>
    <w:rsid w:val="002412A3"/>
    <w:rsid w:val="00242F66"/>
    <w:rsid w:val="00245281"/>
    <w:rsid w:val="00250E61"/>
    <w:rsid w:val="00261F94"/>
    <w:rsid w:val="00267941"/>
    <w:rsid w:val="00286E2C"/>
    <w:rsid w:val="00287E91"/>
    <w:rsid w:val="00291652"/>
    <w:rsid w:val="002964A1"/>
    <w:rsid w:val="002A25F2"/>
    <w:rsid w:val="002A6010"/>
    <w:rsid w:val="002A6A81"/>
    <w:rsid w:val="002A7C26"/>
    <w:rsid w:val="002B199B"/>
    <w:rsid w:val="002C18F4"/>
    <w:rsid w:val="002D5847"/>
    <w:rsid w:val="002D6461"/>
    <w:rsid w:val="002F09A7"/>
    <w:rsid w:val="002F5271"/>
    <w:rsid w:val="002F6311"/>
    <w:rsid w:val="00302273"/>
    <w:rsid w:val="00306B88"/>
    <w:rsid w:val="00310488"/>
    <w:rsid w:val="00311263"/>
    <w:rsid w:val="00314104"/>
    <w:rsid w:val="00317C9F"/>
    <w:rsid w:val="00324AD5"/>
    <w:rsid w:val="0034107F"/>
    <w:rsid w:val="003439FB"/>
    <w:rsid w:val="00344D27"/>
    <w:rsid w:val="00353485"/>
    <w:rsid w:val="00354AEE"/>
    <w:rsid w:val="0035604C"/>
    <w:rsid w:val="0036521B"/>
    <w:rsid w:val="00371332"/>
    <w:rsid w:val="00383DEC"/>
    <w:rsid w:val="003850D4"/>
    <w:rsid w:val="00385F00"/>
    <w:rsid w:val="003866EF"/>
    <w:rsid w:val="00395959"/>
    <w:rsid w:val="00397154"/>
    <w:rsid w:val="003A4565"/>
    <w:rsid w:val="003B2280"/>
    <w:rsid w:val="003B27EC"/>
    <w:rsid w:val="003B2F86"/>
    <w:rsid w:val="003B4439"/>
    <w:rsid w:val="003B4C9E"/>
    <w:rsid w:val="003B7CBC"/>
    <w:rsid w:val="003C3456"/>
    <w:rsid w:val="003C5CCA"/>
    <w:rsid w:val="003D33E2"/>
    <w:rsid w:val="003E2932"/>
    <w:rsid w:val="003E3B57"/>
    <w:rsid w:val="003E73DB"/>
    <w:rsid w:val="003F2D51"/>
    <w:rsid w:val="003F57F2"/>
    <w:rsid w:val="00410914"/>
    <w:rsid w:val="004119F5"/>
    <w:rsid w:val="004166B2"/>
    <w:rsid w:val="004203EF"/>
    <w:rsid w:val="00424F92"/>
    <w:rsid w:val="00427E52"/>
    <w:rsid w:val="00430AD3"/>
    <w:rsid w:val="00433451"/>
    <w:rsid w:val="00446353"/>
    <w:rsid w:val="004466D6"/>
    <w:rsid w:val="0044739B"/>
    <w:rsid w:val="00452773"/>
    <w:rsid w:val="00457D67"/>
    <w:rsid w:val="0046341F"/>
    <w:rsid w:val="00467A6B"/>
    <w:rsid w:val="004768DF"/>
    <w:rsid w:val="0049529E"/>
    <w:rsid w:val="0049707A"/>
    <w:rsid w:val="004973DB"/>
    <w:rsid w:val="0049771A"/>
    <w:rsid w:val="004A3578"/>
    <w:rsid w:val="004A4BF1"/>
    <w:rsid w:val="004C3420"/>
    <w:rsid w:val="004D018B"/>
    <w:rsid w:val="004D124C"/>
    <w:rsid w:val="004D209C"/>
    <w:rsid w:val="004D4435"/>
    <w:rsid w:val="004D496A"/>
    <w:rsid w:val="004D4EE5"/>
    <w:rsid w:val="004E0392"/>
    <w:rsid w:val="004E4497"/>
    <w:rsid w:val="004F7898"/>
    <w:rsid w:val="005030EB"/>
    <w:rsid w:val="00507C56"/>
    <w:rsid w:val="00512A53"/>
    <w:rsid w:val="00516AC0"/>
    <w:rsid w:val="00523905"/>
    <w:rsid w:val="005251B9"/>
    <w:rsid w:val="00530BB4"/>
    <w:rsid w:val="005420FA"/>
    <w:rsid w:val="00545A47"/>
    <w:rsid w:val="00550148"/>
    <w:rsid w:val="00570FAC"/>
    <w:rsid w:val="0057200D"/>
    <w:rsid w:val="00584396"/>
    <w:rsid w:val="005919B8"/>
    <w:rsid w:val="00591CEC"/>
    <w:rsid w:val="00595E75"/>
    <w:rsid w:val="00596A7B"/>
    <w:rsid w:val="005A29FA"/>
    <w:rsid w:val="005A4C88"/>
    <w:rsid w:val="005B0CEB"/>
    <w:rsid w:val="005B18A3"/>
    <w:rsid w:val="005B5657"/>
    <w:rsid w:val="005D277C"/>
    <w:rsid w:val="005D4917"/>
    <w:rsid w:val="005D6D17"/>
    <w:rsid w:val="005E1BEE"/>
    <w:rsid w:val="005E449A"/>
    <w:rsid w:val="005E7B2F"/>
    <w:rsid w:val="005F5280"/>
    <w:rsid w:val="005F58E2"/>
    <w:rsid w:val="005F7223"/>
    <w:rsid w:val="0060413B"/>
    <w:rsid w:val="00604CDD"/>
    <w:rsid w:val="00605EE6"/>
    <w:rsid w:val="0060669E"/>
    <w:rsid w:val="00614EBB"/>
    <w:rsid w:val="0061583E"/>
    <w:rsid w:val="00616C6A"/>
    <w:rsid w:val="00617BCA"/>
    <w:rsid w:val="00631897"/>
    <w:rsid w:val="00631C64"/>
    <w:rsid w:val="00632159"/>
    <w:rsid w:val="00643B6B"/>
    <w:rsid w:val="0064553E"/>
    <w:rsid w:val="00645B6A"/>
    <w:rsid w:val="00650540"/>
    <w:rsid w:val="00654F07"/>
    <w:rsid w:val="00655225"/>
    <w:rsid w:val="00656F3A"/>
    <w:rsid w:val="00664174"/>
    <w:rsid w:val="006643EA"/>
    <w:rsid w:val="0067348D"/>
    <w:rsid w:val="00673F4B"/>
    <w:rsid w:val="006745A9"/>
    <w:rsid w:val="0067710E"/>
    <w:rsid w:val="00682729"/>
    <w:rsid w:val="0068781E"/>
    <w:rsid w:val="00696A2F"/>
    <w:rsid w:val="006A1958"/>
    <w:rsid w:val="006B4541"/>
    <w:rsid w:val="006B6B4E"/>
    <w:rsid w:val="006C52C2"/>
    <w:rsid w:val="006D0FBB"/>
    <w:rsid w:val="006D1E2B"/>
    <w:rsid w:val="006E0D98"/>
    <w:rsid w:val="006E3180"/>
    <w:rsid w:val="006E5EF9"/>
    <w:rsid w:val="006E62A3"/>
    <w:rsid w:val="006E6E26"/>
    <w:rsid w:val="006E70AA"/>
    <w:rsid w:val="006F7A98"/>
    <w:rsid w:val="007029CB"/>
    <w:rsid w:val="00705778"/>
    <w:rsid w:val="0071373B"/>
    <w:rsid w:val="00714FD3"/>
    <w:rsid w:val="00717FC9"/>
    <w:rsid w:val="00720F7B"/>
    <w:rsid w:val="00726B19"/>
    <w:rsid w:val="00727BD0"/>
    <w:rsid w:val="007324C1"/>
    <w:rsid w:val="00736390"/>
    <w:rsid w:val="007366F5"/>
    <w:rsid w:val="007373F0"/>
    <w:rsid w:val="00742AFE"/>
    <w:rsid w:val="00742EDF"/>
    <w:rsid w:val="00744F5B"/>
    <w:rsid w:val="007472B8"/>
    <w:rsid w:val="007472DD"/>
    <w:rsid w:val="00750119"/>
    <w:rsid w:val="0075058F"/>
    <w:rsid w:val="00751420"/>
    <w:rsid w:val="007552F5"/>
    <w:rsid w:val="00764020"/>
    <w:rsid w:val="007674D7"/>
    <w:rsid w:val="00772298"/>
    <w:rsid w:val="00785937"/>
    <w:rsid w:val="0079359C"/>
    <w:rsid w:val="00794062"/>
    <w:rsid w:val="00797584"/>
    <w:rsid w:val="007A0AC1"/>
    <w:rsid w:val="007A2D94"/>
    <w:rsid w:val="007B4353"/>
    <w:rsid w:val="007B651A"/>
    <w:rsid w:val="007B6ED8"/>
    <w:rsid w:val="007B75E4"/>
    <w:rsid w:val="007C4D8A"/>
    <w:rsid w:val="007C6E6D"/>
    <w:rsid w:val="007D10EB"/>
    <w:rsid w:val="007E2608"/>
    <w:rsid w:val="007E47AF"/>
    <w:rsid w:val="007E5C5B"/>
    <w:rsid w:val="007F1726"/>
    <w:rsid w:val="007F292B"/>
    <w:rsid w:val="007F33D4"/>
    <w:rsid w:val="007F371A"/>
    <w:rsid w:val="007F6CF4"/>
    <w:rsid w:val="0080129F"/>
    <w:rsid w:val="0080200E"/>
    <w:rsid w:val="00803A33"/>
    <w:rsid w:val="008051ED"/>
    <w:rsid w:val="00811775"/>
    <w:rsid w:val="00811801"/>
    <w:rsid w:val="0081197F"/>
    <w:rsid w:val="008171BB"/>
    <w:rsid w:val="008248B2"/>
    <w:rsid w:val="00834D88"/>
    <w:rsid w:val="00847B6C"/>
    <w:rsid w:val="0086180E"/>
    <w:rsid w:val="00864085"/>
    <w:rsid w:val="008653D0"/>
    <w:rsid w:val="00867465"/>
    <w:rsid w:val="00874B93"/>
    <w:rsid w:val="008803D0"/>
    <w:rsid w:val="00880F24"/>
    <w:rsid w:val="008836AF"/>
    <w:rsid w:val="00885C9B"/>
    <w:rsid w:val="008912EE"/>
    <w:rsid w:val="00893879"/>
    <w:rsid w:val="008A5035"/>
    <w:rsid w:val="008A5F2B"/>
    <w:rsid w:val="008B1A3E"/>
    <w:rsid w:val="008B2172"/>
    <w:rsid w:val="008C0527"/>
    <w:rsid w:val="008D4ED8"/>
    <w:rsid w:val="008D644E"/>
    <w:rsid w:val="008E0143"/>
    <w:rsid w:val="008E220D"/>
    <w:rsid w:val="008E250D"/>
    <w:rsid w:val="008E5BCA"/>
    <w:rsid w:val="008F1777"/>
    <w:rsid w:val="009022B0"/>
    <w:rsid w:val="00902602"/>
    <w:rsid w:val="00905F4A"/>
    <w:rsid w:val="0091312F"/>
    <w:rsid w:val="00913D51"/>
    <w:rsid w:val="009145E4"/>
    <w:rsid w:val="00914903"/>
    <w:rsid w:val="009301D9"/>
    <w:rsid w:val="00936FB8"/>
    <w:rsid w:val="00937496"/>
    <w:rsid w:val="0094346F"/>
    <w:rsid w:val="00953187"/>
    <w:rsid w:val="009551E9"/>
    <w:rsid w:val="00955415"/>
    <w:rsid w:val="00955A27"/>
    <w:rsid w:val="009617CE"/>
    <w:rsid w:val="00961D70"/>
    <w:rsid w:val="0096333E"/>
    <w:rsid w:val="009668EC"/>
    <w:rsid w:val="00977C3B"/>
    <w:rsid w:val="00982D3D"/>
    <w:rsid w:val="009845F7"/>
    <w:rsid w:val="009901B5"/>
    <w:rsid w:val="009A0BCC"/>
    <w:rsid w:val="009A24A6"/>
    <w:rsid w:val="009A2EFA"/>
    <w:rsid w:val="009A57C5"/>
    <w:rsid w:val="009A6CD4"/>
    <w:rsid w:val="009A6E66"/>
    <w:rsid w:val="009B0211"/>
    <w:rsid w:val="009C16F8"/>
    <w:rsid w:val="009C1DE7"/>
    <w:rsid w:val="009C5625"/>
    <w:rsid w:val="009C5962"/>
    <w:rsid w:val="009D0999"/>
    <w:rsid w:val="009D6937"/>
    <w:rsid w:val="009E0C19"/>
    <w:rsid w:val="009F0698"/>
    <w:rsid w:val="00A03AC1"/>
    <w:rsid w:val="00A05705"/>
    <w:rsid w:val="00A16097"/>
    <w:rsid w:val="00A16F03"/>
    <w:rsid w:val="00A21136"/>
    <w:rsid w:val="00A223C4"/>
    <w:rsid w:val="00A2456A"/>
    <w:rsid w:val="00A26DE5"/>
    <w:rsid w:val="00A3323A"/>
    <w:rsid w:val="00A36DB5"/>
    <w:rsid w:val="00A46C66"/>
    <w:rsid w:val="00A46FAF"/>
    <w:rsid w:val="00A519C7"/>
    <w:rsid w:val="00A5674A"/>
    <w:rsid w:val="00A623EF"/>
    <w:rsid w:val="00A63068"/>
    <w:rsid w:val="00A641AD"/>
    <w:rsid w:val="00A64F91"/>
    <w:rsid w:val="00A65FED"/>
    <w:rsid w:val="00A7438D"/>
    <w:rsid w:val="00A74797"/>
    <w:rsid w:val="00A7601D"/>
    <w:rsid w:val="00A81984"/>
    <w:rsid w:val="00AA0F23"/>
    <w:rsid w:val="00AA3E2F"/>
    <w:rsid w:val="00AA46CA"/>
    <w:rsid w:val="00AA535B"/>
    <w:rsid w:val="00AC1EE8"/>
    <w:rsid w:val="00AC3273"/>
    <w:rsid w:val="00AC68C4"/>
    <w:rsid w:val="00AD310D"/>
    <w:rsid w:val="00AD3D4D"/>
    <w:rsid w:val="00AE4069"/>
    <w:rsid w:val="00AE5799"/>
    <w:rsid w:val="00AE7916"/>
    <w:rsid w:val="00AF09EA"/>
    <w:rsid w:val="00AF1BC5"/>
    <w:rsid w:val="00AF1D6D"/>
    <w:rsid w:val="00AF5632"/>
    <w:rsid w:val="00AF6F8A"/>
    <w:rsid w:val="00B04913"/>
    <w:rsid w:val="00B11251"/>
    <w:rsid w:val="00B21192"/>
    <w:rsid w:val="00B2169A"/>
    <w:rsid w:val="00B24C33"/>
    <w:rsid w:val="00B26991"/>
    <w:rsid w:val="00B31D4D"/>
    <w:rsid w:val="00B33AC9"/>
    <w:rsid w:val="00B3616B"/>
    <w:rsid w:val="00B37633"/>
    <w:rsid w:val="00B377DC"/>
    <w:rsid w:val="00B41DFB"/>
    <w:rsid w:val="00B43D72"/>
    <w:rsid w:val="00B50A28"/>
    <w:rsid w:val="00B518C9"/>
    <w:rsid w:val="00B52EAC"/>
    <w:rsid w:val="00B54969"/>
    <w:rsid w:val="00B61298"/>
    <w:rsid w:val="00B8050B"/>
    <w:rsid w:val="00B80B9E"/>
    <w:rsid w:val="00B82EBE"/>
    <w:rsid w:val="00B838DA"/>
    <w:rsid w:val="00B84E14"/>
    <w:rsid w:val="00B8575C"/>
    <w:rsid w:val="00B869AB"/>
    <w:rsid w:val="00B86E3A"/>
    <w:rsid w:val="00B87346"/>
    <w:rsid w:val="00BA017F"/>
    <w:rsid w:val="00BA21ED"/>
    <w:rsid w:val="00BC6BB7"/>
    <w:rsid w:val="00BC7921"/>
    <w:rsid w:val="00BD535F"/>
    <w:rsid w:val="00BE0616"/>
    <w:rsid w:val="00BE2C2F"/>
    <w:rsid w:val="00BE6E64"/>
    <w:rsid w:val="00BF31B7"/>
    <w:rsid w:val="00BF4F99"/>
    <w:rsid w:val="00C10048"/>
    <w:rsid w:val="00C117D7"/>
    <w:rsid w:val="00C30E9B"/>
    <w:rsid w:val="00C3351C"/>
    <w:rsid w:val="00C4159E"/>
    <w:rsid w:val="00C424FC"/>
    <w:rsid w:val="00C476A9"/>
    <w:rsid w:val="00C47906"/>
    <w:rsid w:val="00C51ECC"/>
    <w:rsid w:val="00C57A28"/>
    <w:rsid w:val="00C600D9"/>
    <w:rsid w:val="00C64D79"/>
    <w:rsid w:val="00C67ADA"/>
    <w:rsid w:val="00C75568"/>
    <w:rsid w:val="00C810E8"/>
    <w:rsid w:val="00C81706"/>
    <w:rsid w:val="00C847C2"/>
    <w:rsid w:val="00CA3578"/>
    <w:rsid w:val="00CA6613"/>
    <w:rsid w:val="00CB01E8"/>
    <w:rsid w:val="00CC05F2"/>
    <w:rsid w:val="00CC69AD"/>
    <w:rsid w:val="00CD1938"/>
    <w:rsid w:val="00CE0FF0"/>
    <w:rsid w:val="00CE5431"/>
    <w:rsid w:val="00CE578A"/>
    <w:rsid w:val="00CF1664"/>
    <w:rsid w:val="00CF1E80"/>
    <w:rsid w:val="00CF5A8A"/>
    <w:rsid w:val="00D01278"/>
    <w:rsid w:val="00D05382"/>
    <w:rsid w:val="00D10C69"/>
    <w:rsid w:val="00D11364"/>
    <w:rsid w:val="00D12AB1"/>
    <w:rsid w:val="00D21759"/>
    <w:rsid w:val="00D23B36"/>
    <w:rsid w:val="00D23F61"/>
    <w:rsid w:val="00D25E17"/>
    <w:rsid w:val="00D27AEB"/>
    <w:rsid w:val="00D53BAE"/>
    <w:rsid w:val="00D57DBA"/>
    <w:rsid w:val="00D57EBC"/>
    <w:rsid w:val="00D704A8"/>
    <w:rsid w:val="00D71F76"/>
    <w:rsid w:val="00D72E5D"/>
    <w:rsid w:val="00D77095"/>
    <w:rsid w:val="00D77324"/>
    <w:rsid w:val="00D80573"/>
    <w:rsid w:val="00D84292"/>
    <w:rsid w:val="00D913E9"/>
    <w:rsid w:val="00D94388"/>
    <w:rsid w:val="00D94BB1"/>
    <w:rsid w:val="00D961C9"/>
    <w:rsid w:val="00D97B80"/>
    <w:rsid w:val="00DA1D73"/>
    <w:rsid w:val="00DA32D0"/>
    <w:rsid w:val="00DA5D6B"/>
    <w:rsid w:val="00DA6D99"/>
    <w:rsid w:val="00DA6FF4"/>
    <w:rsid w:val="00DB2761"/>
    <w:rsid w:val="00DB2FF6"/>
    <w:rsid w:val="00DD0E0C"/>
    <w:rsid w:val="00DD18E8"/>
    <w:rsid w:val="00DD7765"/>
    <w:rsid w:val="00DE0640"/>
    <w:rsid w:val="00DE522D"/>
    <w:rsid w:val="00DF2F67"/>
    <w:rsid w:val="00DF5C28"/>
    <w:rsid w:val="00DF76E5"/>
    <w:rsid w:val="00E03573"/>
    <w:rsid w:val="00E036BD"/>
    <w:rsid w:val="00E04A75"/>
    <w:rsid w:val="00E23955"/>
    <w:rsid w:val="00E417DF"/>
    <w:rsid w:val="00E4551C"/>
    <w:rsid w:val="00E47327"/>
    <w:rsid w:val="00E73207"/>
    <w:rsid w:val="00E7385D"/>
    <w:rsid w:val="00E74CAE"/>
    <w:rsid w:val="00E86579"/>
    <w:rsid w:val="00E8691F"/>
    <w:rsid w:val="00E90A19"/>
    <w:rsid w:val="00E974F8"/>
    <w:rsid w:val="00EA34FF"/>
    <w:rsid w:val="00EA79DA"/>
    <w:rsid w:val="00EC613D"/>
    <w:rsid w:val="00EC636E"/>
    <w:rsid w:val="00EC7E55"/>
    <w:rsid w:val="00ED29A1"/>
    <w:rsid w:val="00ED6F93"/>
    <w:rsid w:val="00EE2667"/>
    <w:rsid w:val="00EE3ADD"/>
    <w:rsid w:val="00EE6A3B"/>
    <w:rsid w:val="00EE7CB8"/>
    <w:rsid w:val="00EF16FB"/>
    <w:rsid w:val="00EF2E0C"/>
    <w:rsid w:val="00F02216"/>
    <w:rsid w:val="00F0291C"/>
    <w:rsid w:val="00F101DD"/>
    <w:rsid w:val="00F14193"/>
    <w:rsid w:val="00F14D59"/>
    <w:rsid w:val="00F20CCE"/>
    <w:rsid w:val="00F249FF"/>
    <w:rsid w:val="00F304C7"/>
    <w:rsid w:val="00F3614E"/>
    <w:rsid w:val="00F37459"/>
    <w:rsid w:val="00F41423"/>
    <w:rsid w:val="00F43B15"/>
    <w:rsid w:val="00F46C69"/>
    <w:rsid w:val="00F47989"/>
    <w:rsid w:val="00F56870"/>
    <w:rsid w:val="00F576E0"/>
    <w:rsid w:val="00F624ED"/>
    <w:rsid w:val="00F6440C"/>
    <w:rsid w:val="00F75967"/>
    <w:rsid w:val="00F7634C"/>
    <w:rsid w:val="00F76F24"/>
    <w:rsid w:val="00F876ED"/>
    <w:rsid w:val="00F901CF"/>
    <w:rsid w:val="00F906EF"/>
    <w:rsid w:val="00F91FAC"/>
    <w:rsid w:val="00F959EB"/>
    <w:rsid w:val="00FB242E"/>
    <w:rsid w:val="00FB33FD"/>
    <w:rsid w:val="00FB568B"/>
    <w:rsid w:val="00FB645E"/>
    <w:rsid w:val="00FC1ACB"/>
    <w:rsid w:val="00FC35ED"/>
    <w:rsid w:val="00FD395D"/>
    <w:rsid w:val="00FD6CD9"/>
    <w:rsid w:val="00FE20D9"/>
    <w:rsid w:val="00FF6C28"/>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A0072"/>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Macro Text Char"/>
    <w:link w:val="2"/>
    <w:qFormat/>
    <w:uiPriority w:val="0"/>
    <w:rPr>
      <w:rFonts w:ascii="Courier New" w:hAnsi="Courier New" w:cs="Courier New"/>
      <w:lang w:val="en-GB" w:eastAsia="zh-CN" w:bidi="ar-AE"/>
    </w:rPr>
  </w:style>
  <w:style w:type="character" w:customStyle="1" w:styleId="211">
    <w:name w:val="Heading 1 Char"/>
    <w:link w:val="3"/>
    <w:qFormat/>
    <w:uiPriority w:val="0"/>
    <w:rPr>
      <w:sz w:val="24"/>
      <w:szCs w:val="24"/>
      <w:lang w:bidi="ar-AE"/>
    </w:rPr>
  </w:style>
  <w:style w:type="character" w:customStyle="1" w:styleId="212">
    <w:name w:val="Heading 2 Char"/>
    <w:link w:val="4"/>
    <w:qFormat/>
    <w:uiPriority w:val="0"/>
    <w:rPr>
      <w:sz w:val="24"/>
      <w:szCs w:val="24"/>
      <w:lang w:bidi="ar-AE"/>
    </w:rPr>
  </w:style>
  <w:style w:type="character" w:customStyle="1" w:styleId="213">
    <w:name w:val="Body Text Char"/>
    <w:link w:val="5"/>
    <w:qFormat/>
    <w:uiPriority w:val="0"/>
    <w:rPr>
      <w:sz w:val="24"/>
      <w:szCs w:val="24"/>
      <w:lang w:eastAsia="en-GB" w:bidi="ar-AE"/>
    </w:rPr>
  </w:style>
  <w:style w:type="character" w:customStyle="1" w:styleId="214">
    <w:name w:val="Heading 3 Char"/>
    <w:link w:val="6"/>
    <w:qFormat/>
    <w:uiPriority w:val="0"/>
    <w:rPr>
      <w:sz w:val="24"/>
      <w:szCs w:val="24"/>
      <w:lang w:bidi="ar-AE"/>
    </w:rPr>
  </w:style>
  <w:style w:type="character" w:customStyle="1" w:styleId="215">
    <w:name w:val="Heading 4 Char"/>
    <w:link w:val="7"/>
    <w:qFormat/>
    <w:uiPriority w:val="0"/>
    <w:rPr>
      <w:sz w:val="24"/>
      <w:szCs w:val="24"/>
      <w:lang w:bidi="ar-AE"/>
    </w:rPr>
  </w:style>
  <w:style w:type="character" w:customStyle="1" w:styleId="216">
    <w:name w:val="Heading 5 Char"/>
    <w:link w:val="8"/>
    <w:qFormat/>
    <w:uiPriority w:val="0"/>
    <w:rPr>
      <w:sz w:val="24"/>
      <w:szCs w:val="24"/>
      <w:lang w:bidi="ar-AE"/>
    </w:rPr>
  </w:style>
  <w:style w:type="character" w:customStyle="1" w:styleId="217">
    <w:name w:val="Heading 6 Char"/>
    <w:link w:val="9"/>
    <w:qFormat/>
    <w:uiPriority w:val="0"/>
    <w:rPr>
      <w:sz w:val="24"/>
      <w:szCs w:val="24"/>
      <w:lang w:bidi="ar-AE"/>
    </w:rPr>
  </w:style>
  <w:style w:type="character" w:customStyle="1" w:styleId="218">
    <w:name w:val="Heading 7 Char"/>
    <w:link w:val="10"/>
    <w:qFormat/>
    <w:uiPriority w:val="0"/>
    <w:rPr>
      <w:sz w:val="24"/>
      <w:szCs w:val="24"/>
      <w:lang w:bidi="ar-AE"/>
    </w:rPr>
  </w:style>
  <w:style w:type="character" w:customStyle="1" w:styleId="219">
    <w:name w:val="Heading 8 Char"/>
    <w:link w:val="11"/>
    <w:qFormat/>
    <w:uiPriority w:val="0"/>
    <w:rPr>
      <w:sz w:val="24"/>
      <w:szCs w:val="24"/>
      <w:lang w:bidi="ar-AE"/>
    </w:rPr>
  </w:style>
  <w:style w:type="character" w:customStyle="1" w:styleId="220">
    <w:name w:val="Heading 9 Char"/>
    <w:link w:val="12"/>
    <w:qFormat/>
    <w:uiPriority w:val="0"/>
    <w:rPr>
      <w:sz w:val="24"/>
      <w:szCs w:val="24"/>
      <w:lang w:bidi="ar-AE"/>
    </w:rPr>
  </w:style>
  <w:style w:type="character" w:customStyle="1" w:styleId="221">
    <w:name w:val="Note Heading Char"/>
    <w:link w:val="16"/>
    <w:qFormat/>
    <w:uiPriority w:val="0"/>
    <w:rPr>
      <w:sz w:val="24"/>
      <w:szCs w:val="24"/>
      <w:lang w:bidi="ar-AE"/>
    </w:rPr>
  </w:style>
  <w:style w:type="character" w:customStyle="1" w:styleId="222">
    <w:name w:val="E-mail Signature Char"/>
    <w:link w:val="18"/>
    <w:qFormat/>
    <w:uiPriority w:val="0"/>
    <w:rPr>
      <w:sz w:val="24"/>
      <w:szCs w:val="24"/>
      <w:lang w:bidi="ar-AE"/>
    </w:rPr>
  </w:style>
  <w:style w:type="character" w:customStyle="1" w:styleId="223">
    <w:name w:val="Document Map Char"/>
    <w:link w:val="23"/>
    <w:qFormat/>
    <w:uiPriority w:val="0"/>
    <w:rPr>
      <w:rFonts w:ascii="Tahoma" w:hAnsi="Tahoma" w:cs="Tahoma"/>
      <w:sz w:val="16"/>
      <w:szCs w:val="16"/>
      <w:lang w:bidi="ar-AE"/>
    </w:rPr>
  </w:style>
  <w:style w:type="character" w:customStyle="1" w:styleId="224">
    <w:name w:val="Comment Text Char"/>
    <w:link w:val="25"/>
    <w:qFormat/>
    <w:uiPriority w:val="0"/>
    <w:rPr>
      <w:lang w:bidi="ar-AE"/>
    </w:rPr>
  </w:style>
  <w:style w:type="character" w:customStyle="1" w:styleId="225">
    <w:name w:val="Salutation Char"/>
    <w:link w:val="27"/>
    <w:qFormat/>
    <w:uiPriority w:val="0"/>
    <w:rPr>
      <w:sz w:val="24"/>
      <w:szCs w:val="24"/>
      <w:lang w:bidi="ar-AE"/>
    </w:rPr>
  </w:style>
  <w:style w:type="character" w:customStyle="1" w:styleId="226">
    <w:name w:val="Body Text 3 Char"/>
    <w:link w:val="28"/>
    <w:qFormat/>
    <w:uiPriority w:val="0"/>
    <w:rPr>
      <w:sz w:val="24"/>
      <w:szCs w:val="24"/>
      <w:lang w:eastAsia="en-GB" w:bidi="ar-AE"/>
    </w:rPr>
  </w:style>
  <w:style w:type="character" w:customStyle="1" w:styleId="227">
    <w:name w:val="Closing Char"/>
    <w:link w:val="29"/>
    <w:qFormat/>
    <w:uiPriority w:val="0"/>
    <w:rPr>
      <w:sz w:val="24"/>
      <w:szCs w:val="24"/>
      <w:lang w:bidi="ar-AE"/>
    </w:rPr>
  </w:style>
  <w:style w:type="character" w:customStyle="1" w:styleId="228">
    <w:name w:val="Body Text Indent Char"/>
    <w:link w:val="30"/>
    <w:qFormat/>
    <w:uiPriority w:val="0"/>
    <w:rPr>
      <w:sz w:val="24"/>
      <w:szCs w:val="24"/>
      <w:lang w:bidi="ar-AE"/>
    </w:rPr>
  </w:style>
  <w:style w:type="character" w:customStyle="1" w:styleId="229">
    <w:name w:val="HTML Address Char"/>
    <w:link w:val="34"/>
    <w:qFormat/>
    <w:uiPriority w:val="0"/>
    <w:rPr>
      <w:i/>
      <w:iCs/>
      <w:sz w:val="24"/>
      <w:szCs w:val="24"/>
      <w:lang w:bidi="ar-AE"/>
    </w:rPr>
  </w:style>
  <w:style w:type="character" w:customStyle="1" w:styleId="230">
    <w:name w:val="Plain Text Char"/>
    <w:link w:val="38"/>
    <w:qFormat/>
    <w:uiPriority w:val="0"/>
    <w:rPr>
      <w:rFonts w:ascii="Courier New" w:hAnsi="Courier New" w:cs="Courier New"/>
      <w:lang w:bidi="ar-AE"/>
    </w:rPr>
  </w:style>
  <w:style w:type="character" w:customStyle="1" w:styleId="231">
    <w:name w:val="Date Char"/>
    <w:link w:val="41"/>
    <w:qFormat/>
    <w:uiPriority w:val="0"/>
    <w:rPr>
      <w:sz w:val="24"/>
      <w:szCs w:val="24"/>
      <w:lang w:bidi="ar-AE"/>
    </w:rPr>
  </w:style>
  <w:style w:type="character" w:customStyle="1" w:styleId="232">
    <w:name w:val="Body Text Indent 2 Char"/>
    <w:link w:val="42"/>
    <w:qFormat/>
    <w:uiPriority w:val="0"/>
    <w:rPr>
      <w:sz w:val="24"/>
      <w:szCs w:val="24"/>
      <w:lang w:bidi="ar-AE"/>
    </w:rPr>
  </w:style>
  <w:style w:type="character" w:customStyle="1" w:styleId="233">
    <w:name w:val="Endnote Text Char"/>
    <w:link w:val="43"/>
    <w:qFormat/>
    <w:uiPriority w:val="0"/>
    <w:rPr>
      <w:lang w:bidi="ar-AE"/>
    </w:rPr>
  </w:style>
  <w:style w:type="character" w:customStyle="1" w:styleId="234">
    <w:name w:val="Balloon Text Char"/>
    <w:link w:val="45"/>
    <w:qFormat/>
    <w:uiPriority w:val="0"/>
    <w:rPr>
      <w:rFonts w:ascii="Tahoma" w:hAnsi="Tahoma" w:cs="Tahoma"/>
      <w:sz w:val="16"/>
      <w:szCs w:val="16"/>
      <w:lang w:bidi="ar-AE"/>
    </w:rPr>
  </w:style>
  <w:style w:type="character" w:customStyle="1" w:styleId="235">
    <w:name w:val="Footer Char"/>
    <w:link w:val="46"/>
    <w:qFormat/>
    <w:uiPriority w:val="0"/>
    <w:rPr>
      <w:sz w:val="16"/>
      <w:szCs w:val="16"/>
      <w:lang w:val="en-GB" w:eastAsia="zh-CN" w:bidi="he-IL"/>
    </w:rPr>
  </w:style>
  <w:style w:type="character" w:customStyle="1" w:styleId="236">
    <w:name w:val="Header Char"/>
    <w:link w:val="48"/>
    <w:qFormat/>
    <w:uiPriority w:val="99"/>
    <w:rPr>
      <w:sz w:val="24"/>
      <w:szCs w:val="24"/>
      <w:lang w:val="en-GB" w:eastAsia="zh-CN" w:bidi="he-IL"/>
    </w:rPr>
  </w:style>
  <w:style w:type="character" w:customStyle="1" w:styleId="237">
    <w:name w:val="Signature Char"/>
    <w:link w:val="49"/>
    <w:qFormat/>
    <w:uiPriority w:val="0"/>
    <w:rPr>
      <w:sz w:val="24"/>
      <w:szCs w:val="24"/>
      <w:lang w:bidi="ar-AE"/>
    </w:rPr>
  </w:style>
  <w:style w:type="character" w:customStyle="1" w:styleId="238">
    <w:name w:val="Subtitle Char"/>
    <w:link w:val="54"/>
    <w:qFormat/>
    <w:uiPriority w:val="0"/>
    <w:rPr>
      <w:sz w:val="24"/>
      <w:szCs w:val="24"/>
      <w:lang w:bidi="ar-AE"/>
    </w:rPr>
  </w:style>
  <w:style w:type="character" w:customStyle="1" w:styleId="239">
    <w:name w:val="Footnote Text Char"/>
    <w:link w:val="56"/>
    <w:qFormat/>
    <w:uiPriority w:val="0"/>
    <w:rPr>
      <w:lang w:bidi="ar-AE"/>
    </w:rPr>
  </w:style>
  <w:style w:type="character" w:customStyle="1" w:styleId="240">
    <w:name w:val="Body Text Indent 3 Char"/>
    <w:link w:val="59"/>
    <w:qFormat/>
    <w:uiPriority w:val="0"/>
    <w:rPr>
      <w:sz w:val="16"/>
      <w:szCs w:val="16"/>
      <w:lang w:bidi="ar-AE"/>
    </w:rPr>
  </w:style>
  <w:style w:type="character" w:customStyle="1" w:styleId="241">
    <w:name w:val="Body Text 2 Char"/>
    <w:link w:val="65"/>
    <w:qFormat/>
    <w:uiPriority w:val="0"/>
    <w:rPr>
      <w:sz w:val="24"/>
      <w:szCs w:val="24"/>
      <w:lang w:eastAsia="en-GB" w:bidi="ar-AE"/>
    </w:rPr>
  </w:style>
  <w:style w:type="character" w:customStyle="1" w:styleId="242">
    <w:name w:val="Message Header Char"/>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Preformatted Char"/>
    <w:link w:val="69"/>
    <w:qFormat/>
    <w:uiPriority w:val="0"/>
    <w:rPr>
      <w:rFonts w:ascii="Courier New" w:hAnsi="Courier New" w:cs="Courier New"/>
      <w:lang w:bidi="ar-AE"/>
    </w:rPr>
  </w:style>
  <w:style w:type="character" w:customStyle="1" w:styleId="244">
    <w:name w:val="Title Char"/>
    <w:link w:val="74"/>
    <w:qFormat/>
    <w:uiPriority w:val="0"/>
    <w:rPr>
      <w:b/>
      <w:bCs/>
      <w:sz w:val="24"/>
      <w:szCs w:val="24"/>
      <w:lang w:bidi="ar-AE"/>
    </w:rPr>
  </w:style>
  <w:style w:type="character" w:customStyle="1" w:styleId="245">
    <w:name w:val="Comment Subject Char"/>
    <w:link w:val="75"/>
    <w:qFormat/>
    <w:uiPriority w:val="0"/>
    <w:rPr>
      <w:b/>
      <w:bCs/>
      <w:lang w:bidi="ar-AE"/>
    </w:rPr>
  </w:style>
  <w:style w:type="character" w:customStyle="1" w:styleId="246">
    <w:name w:val="Body Text First Indent Char"/>
    <w:link w:val="76"/>
    <w:qFormat/>
    <w:uiPriority w:val="0"/>
    <w:rPr>
      <w:sz w:val="24"/>
      <w:szCs w:val="24"/>
      <w:lang w:eastAsia="en-GB" w:bidi="ar-AE"/>
    </w:rPr>
  </w:style>
  <w:style w:type="character" w:customStyle="1" w:styleId="247">
    <w:name w:val="Body Text First Indent 2 Char"/>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Bibliography"/>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Intense Quote Char"/>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Quote Char"/>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FangSong_GB2312"/>
      <w:bCs/>
      <w:sz w:val="21"/>
      <w:szCs w:val="21"/>
    </w:rPr>
  </w:style>
  <w:style w:type="paragraph" w:customStyle="1" w:styleId="331">
    <w:name w:val="Revision"/>
    <w:hidden/>
    <w:unhideWhenUsed/>
    <w:qFormat/>
    <w:uiPriority w:val="99"/>
    <w:rPr>
      <w:rFonts w:ascii="Times New Roman" w:hAnsi="Times New Roman" w:eastAsia="宋体" w:cs="Times New Roman"/>
      <w:sz w:val="24"/>
      <w:szCs w:val="24"/>
      <w:lang w:val="en-GB" w:eastAsia="zh-CN" w:bidi="ar-A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oa/C:\Program%20Files%20(x86)\Microsoft%20Office\Templates\KWM\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Office_11.8.2.10552_F1E327BC-269C-435d-A152-05C5408002CA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2023-11-02T18:09:29Z</dcterms:created>
  <dc:creator>oa</dc:creator>
  <cp:lastModifiedBy>oa</cp:lastModifiedBy>
  <dcterms:modified xsi:type="dcterms:W3CDTF">2023-11-02T18:09:40Z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