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eastAsia="黑体"/>
          <w:bCs/>
          <w:sz w:val="36"/>
          <w:szCs w:val="36"/>
        </w:rPr>
      </w:pPr>
      <w:r>
        <w:rPr>
          <w:rFonts w:eastAsia="黑体"/>
          <w:bCs/>
          <w:sz w:val="36"/>
          <w:szCs w:val="36"/>
        </w:rPr>
        <w:t>经营者集中简易案件公示表</w:t>
      </w:r>
    </w:p>
    <w:tbl>
      <w:tblPr>
        <w:tblStyle w:val="7"/>
        <w:tblW w:w="910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55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  <w:jc w:val="center"/>
        </w:trPr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案件名称</w:t>
            </w:r>
          </w:p>
        </w:tc>
        <w:tc>
          <w:tcPr>
            <w:tcW w:w="71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bCs/>
                <w:color w:val="000000"/>
              </w:rPr>
            </w:pPr>
            <w:r>
              <w:rPr>
                <w:szCs w:val="21"/>
              </w:rPr>
              <w:t>中煤电力有限公司与北京京能电力股份有限公司新设合营企业案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  <w:jc w:val="center"/>
        </w:trPr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交易概况（限200字内）</w:t>
            </w:r>
          </w:p>
        </w:tc>
        <w:tc>
          <w:tcPr>
            <w:tcW w:w="71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t>中煤电力有限公司</w:t>
            </w:r>
            <w:r>
              <w:rPr>
                <w:b/>
                <w:color w:val="000000"/>
              </w:rPr>
              <w:t>（</w:t>
            </w:r>
            <w:r>
              <w:rPr>
                <w:rFonts w:hint="eastAsia"/>
                <w:b/>
                <w:color w:val="000000"/>
              </w:rPr>
              <w:t>“</w:t>
            </w:r>
            <w:r>
              <w:rPr>
                <w:b/>
                <w:color w:val="000000"/>
              </w:rPr>
              <w:t>中煤电力</w:t>
            </w:r>
            <w:r>
              <w:rPr>
                <w:rFonts w:hint="eastAsia"/>
                <w:b/>
                <w:color w:val="000000"/>
              </w:rPr>
              <w:t>”</w:t>
            </w:r>
            <w:r>
              <w:rPr>
                <w:b/>
                <w:color w:val="000000"/>
              </w:rPr>
              <w:t>）</w:t>
            </w:r>
            <w:r>
              <w:rPr>
                <w:bCs/>
                <w:color w:val="000000"/>
              </w:rPr>
              <w:t>与北京京能电力股份有限公司</w:t>
            </w:r>
            <w:r>
              <w:rPr>
                <w:b/>
                <w:color w:val="000000"/>
              </w:rPr>
              <w:t>（</w:t>
            </w:r>
            <w:r>
              <w:rPr>
                <w:rFonts w:hint="eastAsia"/>
                <w:b/>
                <w:color w:val="000000"/>
              </w:rPr>
              <w:t>“</w:t>
            </w:r>
            <w:r>
              <w:rPr>
                <w:b/>
                <w:color w:val="000000"/>
              </w:rPr>
              <w:t>京能电力</w:t>
            </w:r>
            <w:r>
              <w:rPr>
                <w:rFonts w:hint="eastAsia"/>
                <w:b/>
                <w:color w:val="000000"/>
              </w:rPr>
              <w:t>”</w:t>
            </w:r>
            <w:r>
              <w:rPr>
                <w:b/>
                <w:color w:val="000000"/>
              </w:rPr>
              <w:t>）</w:t>
            </w:r>
            <w:r>
              <w:rPr>
                <w:bCs/>
                <w:color w:val="000000"/>
              </w:rPr>
              <w:t>签署《关于合资设立中煤京能秦皇岛能源投资有限责任公司协议书》，中煤电力与京能电力拟新设合营企业，合营企业</w:t>
            </w:r>
            <w:r>
              <w:rPr>
                <w:rFonts w:hint="eastAsia"/>
                <w:bCs/>
                <w:color w:val="000000"/>
                <w:lang w:eastAsia="zh-CN"/>
              </w:rPr>
              <w:t>拟</w:t>
            </w:r>
            <w:r>
              <w:rPr>
                <w:bCs/>
                <w:color w:val="000000"/>
              </w:rPr>
              <w:t>主要从事</w:t>
            </w:r>
            <w:r>
              <w:rPr>
                <w:rFonts w:hint="eastAsia"/>
                <w:bCs/>
                <w:color w:val="000000"/>
              </w:rPr>
              <w:t>发电、供热、供（配）电业务</w:t>
            </w:r>
            <w:r>
              <w:rPr>
                <w:bCs/>
                <w:color w:val="000000"/>
              </w:rPr>
              <w:t>。</w:t>
            </w:r>
            <w:r>
              <w:rPr>
                <w:rFonts w:hint="eastAsia"/>
                <w:bCs/>
                <w:color w:val="000000"/>
                <w:lang w:eastAsia="zh-CN"/>
              </w:rPr>
              <w:t>本次</w:t>
            </w:r>
            <w:r>
              <w:rPr>
                <w:bCs/>
                <w:color w:val="000000"/>
              </w:rPr>
              <w:t>交易后，中煤电力</w:t>
            </w:r>
            <w:r>
              <w:rPr>
                <w:rFonts w:hint="eastAsia"/>
                <w:bCs/>
                <w:color w:val="000000"/>
                <w:lang w:eastAsia="zh-CN"/>
              </w:rPr>
              <w:t>、</w:t>
            </w:r>
            <w:r>
              <w:rPr>
                <w:bCs/>
                <w:color w:val="000000"/>
              </w:rPr>
              <w:t>京能电力</w:t>
            </w:r>
            <w:r>
              <w:rPr>
                <w:rFonts w:hint="eastAsia"/>
                <w:bCs/>
                <w:color w:val="000000"/>
                <w:lang w:eastAsia="zh-CN"/>
              </w:rPr>
              <w:t>将分别持有合营企业</w:t>
            </w:r>
            <w:r>
              <w:rPr>
                <w:bCs/>
                <w:color w:val="000000"/>
              </w:rPr>
              <w:t>60%</w:t>
            </w:r>
            <w:r>
              <w:rPr>
                <w:rFonts w:hint="eastAsia"/>
                <w:bCs/>
                <w:color w:val="000000"/>
                <w:lang w:eastAsia="zh-CN"/>
              </w:rPr>
              <w:t>、</w:t>
            </w:r>
            <w:r>
              <w:rPr>
                <w:bCs/>
                <w:color w:val="000000"/>
              </w:rPr>
              <w:t>40%</w:t>
            </w:r>
            <w:r>
              <w:rPr>
                <w:rFonts w:hint="eastAsia"/>
                <w:bCs/>
                <w:color w:val="000000"/>
                <w:lang w:eastAsia="zh-CN"/>
              </w:rPr>
              <w:t>股权，</w:t>
            </w:r>
            <w:r>
              <w:rPr>
                <w:bCs/>
                <w:color w:val="000000"/>
              </w:rPr>
              <w:t>共同控制合营企业。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  <w:jc w:val="center"/>
        </w:trPr>
        <w:tc>
          <w:tcPr>
            <w:tcW w:w="1940" w:type="dxa"/>
            <w:vMerge w:val="restart"/>
            <w:tcBorders>
              <w:top w:val="nil"/>
              <w:left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参与集中的经营者简介（每个限100字以内）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1.</w:t>
            </w:r>
            <w:r>
              <w:rPr>
                <w:rFonts w:cs="Times New Roman"/>
                <w:color w:val="000000" w:themeColor="text1"/>
                <w:lang w:eastAsia="zh-Hans"/>
                <w14:textFill>
                  <w14:solidFill>
                    <w14:schemeClr w14:val="tx1"/>
                  </w14:solidFill>
                </w14:textFill>
              </w:rPr>
              <w:t xml:space="preserve"> 中煤电力</w:t>
            </w:r>
          </w:p>
        </w:tc>
        <w:tc>
          <w:tcPr>
            <w:tcW w:w="5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before="0" w:beforeAutospacing="0" w:after="0"/>
              <w:rPr>
                <w:szCs w:val="21"/>
              </w:rPr>
            </w:pPr>
            <w:r>
              <w:rPr>
                <w:szCs w:val="21"/>
              </w:rPr>
              <w:t>中煤电力于2020年1月21日成立于北京市，主要</w:t>
            </w:r>
            <w:r>
              <w:rPr>
                <w:rFonts w:hint="eastAsia"/>
                <w:szCs w:val="21"/>
              </w:rPr>
              <w:t>业务为</w:t>
            </w:r>
            <w:r>
              <w:rPr>
                <w:szCs w:val="21"/>
              </w:rPr>
              <w:t>火电发电、新能源、综合能源及其它能源项目的投资与管理</w:t>
            </w:r>
            <w:r>
              <w:rPr>
                <w:rFonts w:hint="eastAsia"/>
                <w:szCs w:val="21"/>
              </w:rPr>
              <w:t>等</w:t>
            </w:r>
            <w:r>
              <w:rPr>
                <w:szCs w:val="21"/>
              </w:rPr>
              <w:t>。</w:t>
            </w:r>
          </w:p>
          <w:p>
            <w:pPr>
              <w:snapToGrid w:val="0"/>
              <w:spacing w:before="0" w:beforeAutospacing="0" w:after="0"/>
              <w:rPr>
                <w:szCs w:val="21"/>
              </w:rPr>
            </w:pPr>
            <w:r>
              <w:rPr>
                <w:szCs w:val="21"/>
              </w:rPr>
              <w:t>中煤电力的最终控制人是中国中煤能源集团有限公司，主要</w:t>
            </w:r>
            <w:r>
              <w:rPr>
                <w:rFonts w:hint="eastAsia"/>
                <w:szCs w:val="21"/>
              </w:rPr>
              <w:t>业务为</w:t>
            </w:r>
            <w:r>
              <w:rPr>
                <w:szCs w:val="21"/>
              </w:rPr>
              <w:t>煤炭生产与销售、煤化工、火力发电等。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  <w:jc w:val="center"/>
        </w:trPr>
        <w:tc>
          <w:tcPr>
            <w:tcW w:w="1940" w:type="dxa"/>
            <w:vMerge w:val="continue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2.</w:t>
            </w:r>
            <w:r>
              <w:rPr>
                <w:rFonts w:cs="Times New Roman"/>
                <w:color w:val="000000" w:themeColor="text1"/>
                <w:lang w:eastAsia="zh-Hans"/>
                <w14:textFill>
                  <w14:solidFill>
                    <w14:schemeClr w14:val="tx1"/>
                  </w14:solidFill>
                </w14:textFill>
              </w:rPr>
              <w:t xml:space="preserve"> 京能</w:t>
            </w:r>
            <w:r>
              <w:rPr>
                <w:rFonts w:cs="Times New Roman"/>
                <w:szCs w:val="21"/>
              </w:rPr>
              <w:t>电力</w:t>
            </w:r>
          </w:p>
        </w:tc>
        <w:tc>
          <w:tcPr>
            <w:tcW w:w="5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napToGrid w:val="0"/>
              <w:spacing w:before="0" w:beforeAutospacing="0" w:after="0"/>
              <w:rPr>
                <w:szCs w:val="21"/>
              </w:rPr>
            </w:pPr>
            <w:r>
              <w:rPr>
                <w:szCs w:val="21"/>
              </w:rPr>
              <w:t>京能电力于2000年3月10日成立于北京市，</w:t>
            </w:r>
            <w:r>
              <w:rPr>
                <w:rFonts w:hint="eastAsia"/>
                <w:szCs w:val="21"/>
              </w:rPr>
              <w:t>为</w:t>
            </w:r>
            <w:r>
              <w:rPr>
                <w:szCs w:val="21"/>
              </w:rPr>
              <w:t>上海证券交易所上市公司，主要</w:t>
            </w:r>
            <w:r>
              <w:rPr>
                <w:rFonts w:hint="eastAsia"/>
                <w:szCs w:val="21"/>
              </w:rPr>
              <w:t>业务为</w:t>
            </w:r>
            <w:r>
              <w:rPr>
                <w:szCs w:val="21"/>
              </w:rPr>
              <w:t>火力发电及供热，以及以电力生产为主的能源项目的投资、建设、运营管理</w:t>
            </w:r>
            <w:r>
              <w:rPr>
                <w:rFonts w:hint="eastAsia"/>
                <w:szCs w:val="21"/>
              </w:rPr>
              <w:t>等</w:t>
            </w:r>
            <w:r>
              <w:rPr>
                <w:szCs w:val="21"/>
              </w:rPr>
              <w:t>。</w:t>
            </w:r>
          </w:p>
          <w:p>
            <w:pPr>
              <w:snapToGrid w:val="0"/>
              <w:spacing w:before="0" w:beforeAutospacing="0" w:after="0"/>
              <w:rPr>
                <w:szCs w:val="21"/>
              </w:rPr>
            </w:pPr>
            <w:r>
              <w:rPr>
                <w:szCs w:val="21"/>
              </w:rPr>
              <w:t>京能电力</w:t>
            </w:r>
            <w:r>
              <w:rPr>
                <w:bCs/>
                <w:color w:val="000000"/>
              </w:rPr>
              <w:t>的最终控制人是北京能源集团有限责任公司，主要</w:t>
            </w:r>
            <w:r>
              <w:rPr>
                <w:rFonts w:hint="eastAsia"/>
                <w:bCs/>
                <w:color w:val="000000"/>
              </w:rPr>
              <w:t>业务为</w:t>
            </w:r>
            <w:r>
              <w:rPr>
                <w:bCs/>
                <w:color w:val="000000"/>
              </w:rPr>
              <w:t>能源项目投资、开发及经营管理，能源供应、管理业务</w:t>
            </w:r>
            <w:r>
              <w:rPr>
                <w:rFonts w:hint="eastAsia"/>
                <w:bCs/>
                <w:color w:val="000000"/>
              </w:rPr>
              <w:t>等</w:t>
            </w:r>
            <w:r>
              <w:rPr>
                <w:bCs/>
                <w:color w:val="000000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  <w:jc w:val="center"/>
        </w:trPr>
        <w:tc>
          <w:tcPr>
            <w:tcW w:w="194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简易案件理由（可以单选，也可以多选）</w:t>
            </w:r>
          </w:p>
        </w:tc>
        <w:tc>
          <w:tcPr>
            <w:tcW w:w="71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lang w:val="en-GB"/>
              </w:rPr>
              <w:sym w:font="Wingdings" w:char="00FE"/>
            </w:r>
            <w:r>
              <w:rPr>
                <w:rFonts w:cs="Times New Roman"/>
                <w:lang w:val="en-GB"/>
              </w:rPr>
              <w:t xml:space="preserve"> </w:t>
            </w:r>
            <w:r>
              <w:rPr>
                <w:rFonts w:cs="Times New Roman"/>
                <w:bCs/>
                <w:color w:val="000000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19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lang w:val="en-GB"/>
              </w:rPr>
              <w:sym w:font="Wingdings" w:char="00FE"/>
            </w:r>
            <w:r>
              <w:rPr>
                <w:rFonts w:cs="Times New Roman"/>
                <w:bCs/>
                <w:color w:val="000000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19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lang w:val="en-GB"/>
              </w:rPr>
              <w:sym w:font="Wingdings" w:char="F0A8"/>
            </w:r>
            <w:r>
              <w:rPr>
                <w:rFonts w:cs="Times New Roman"/>
                <w:lang w:val="en-GB"/>
              </w:rPr>
              <w:t xml:space="preserve"> </w:t>
            </w:r>
            <w:r>
              <w:rPr>
                <w:rFonts w:cs="Times New Roman"/>
                <w:bCs/>
                <w:color w:val="000000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jc w:val="center"/>
        </w:trPr>
        <w:tc>
          <w:tcPr>
            <w:tcW w:w="19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lang w:val="en-GB"/>
              </w:rPr>
              <w:sym w:font="Wingdings" w:char="F0A8"/>
            </w:r>
            <w:r>
              <w:rPr>
                <w:rFonts w:cs="Times New Roman"/>
                <w:bCs/>
                <w:color w:val="000000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  <w:jc w:val="center"/>
        </w:trPr>
        <w:tc>
          <w:tcPr>
            <w:tcW w:w="19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lang w:val="en-GB"/>
              </w:rPr>
              <w:sym w:font="Wingdings" w:char="F0A8"/>
            </w:r>
            <w:r>
              <w:rPr>
                <w:rFonts w:cs="Times New Roman"/>
                <w:bCs/>
                <w:color w:val="000000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194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spacing w:before="0" w:beforeAutospacing="0" w:after="0"/>
              <w:jc w:val="left"/>
              <w:rPr>
                <w:bCs/>
                <w:color w:val="000000"/>
              </w:rPr>
            </w:pPr>
          </w:p>
        </w:tc>
        <w:tc>
          <w:tcPr>
            <w:tcW w:w="71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lang w:val="en-GB"/>
              </w:rPr>
              <w:sym w:font="Wingdings" w:char="F0A8"/>
            </w:r>
            <w:r>
              <w:rPr>
                <w:rFonts w:cs="Times New Roman"/>
                <w:bCs/>
                <w:color w:val="000000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  <w:jc w:val="center"/>
        </w:trPr>
        <w:tc>
          <w:tcPr>
            <w:tcW w:w="19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备注</w:t>
            </w:r>
          </w:p>
        </w:tc>
        <w:tc>
          <w:tcPr>
            <w:tcW w:w="716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横向重叠：</w:t>
            </w:r>
          </w:p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2022年中国境内</w:t>
            </w:r>
            <w:r>
              <w:rPr>
                <w:rFonts w:hint="eastAsia" w:cs="Times New Roman"/>
                <w:bCs/>
                <w:color w:val="000000"/>
              </w:rPr>
              <w:t>热电联产</w:t>
            </w:r>
            <w:r>
              <w:rPr>
                <w:rFonts w:cs="Times New Roman"/>
                <w:bCs/>
                <w:color w:val="000000"/>
              </w:rPr>
              <w:t>市场：</w:t>
            </w:r>
          </w:p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中煤电力：0-5%，京能电力：0-5%，双方合计：0-5%。</w:t>
            </w:r>
            <w:bookmarkStart w:id="0" w:name="_GoBack"/>
            <w:bookmarkEnd w:id="0"/>
          </w:p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/>
                <w:color w:val="000000"/>
              </w:rPr>
            </w:pPr>
            <w:r>
              <w:rPr>
                <w:rFonts w:cs="Times New Roman"/>
                <w:b/>
                <w:color w:val="000000"/>
              </w:rPr>
              <w:t>纵向关联：</w:t>
            </w:r>
          </w:p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上游：2022年中国境内动力煤市场</w:t>
            </w:r>
          </w:p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中煤电力：0-5%</w:t>
            </w:r>
          </w:p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下游：2022年中国境内</w:t>
            </w:r>
            <w:r>
              <w:rPr>
                <w:rFonts w:hint="eastAsia" w:cs="Times New Roman"/>
                <w:bCs/>
                <w:color w:val="000000"/>
              </w:rPr>
              <w:t>热电联产</w:t>
            </w:r>
            <w:r>
              <w:rPr>
                <w:rFonts w:cs="Times New Roman"/>
                <w:bCs/>
                <w:color w:val="000000"/>
              </w:rPr>
              <w:t>市场：</w:t>
            </w:r>
          </w:p>
          <w:p>
            <w:pPr>
              <w:pStyle w:val="3"/>
              <w:widowControl w:val="0"/>
              <w:autoSpaceDE w:val="0"/>
              <w:adjustRightInd w:val="0"/>
              <w:snapToGrid w:val="0"/>
              <w:spacing w:before="0" w:beforeAutospacing="0" w:after="0"/>
              <w:rPr>
                <w:rFonts w:cs="Times New Roman"/>
                <w:bCs/>
                <w:color w:val="000000"/>
              </w:rPr>
            </w:pPr>
            <w:r>
              <w:rPr>
                <w:rFonts w:cs="Times New Roman"/>
                <w:bCs/>
                <w:color w:val="000000"/>
              </w:rPr>
              <w:t>中煤电力：0-5%，京能电力：0-5%，双方合计：0-5%。</w:t>
            </w:r>
          </w:p>
        </w:tc>
      </w:tr>
    </w:tbl>
    <w:p/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仿宋_GB2312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仿宋_GB2312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MingLiU">
    <w:altName w:val="文泉驿微米黑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Simplified Arabic">
    <w:altName w:val="Times New Roman"/>
    <w:panose1 w:val="00000000000000000000"/>
    <w:charset w:val="B2"/>
    <w:family w:val="roman"/>
    <w:pitch w:val="default"/>
    <w:sig w:usb0="00000000" w:usb1="00000000" w:usb2="00000008" w:usb3="00000000" w:csb0="0000004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Noto Sans CJK JP Bold">
    <w:panose1 w:val="020B0800000000000000"/>
    <w:charset w:val="86"/>
    <w:family w:val="auto"/>
    <w:pitch w:val="default"/>
    <w:sig w:usb0="30000003" w:usb1="2BDF3C10" w:usb2="00000016" w:usb3="00000000" w:csb0="602E0107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95862682"/>
      <w:docPartObj>
        <w:docPartGallery w:val="autotext"/>
      </w:docPartObj>
    </w:sdtPr>
    <w:sdtContent>
      <w:p>
        <w:pPr>
          <w:pStyle w:val="5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true"/>
  <w:bordersDoNotSurroundFooter w:val="true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IwMbIwsDQ2MjIyNjZR0lEKTi0uzszPAykwrAUA/XItfSwAAAA="/>
  </w:docVars>
  <w:rsids>
    <w:rsidRoot w:val="00946093"/>
    <w:rsid w:val="000137E0"/>
    <w:rsid w:val="0004332E"/>
    <w:rsid w:val="000D57C3"/>
    <w:rsid w:val="0014425D"/>
    <w:rsid w:val="00157BDA"/>
    <w:rsid w:val="00185356"/>
    <w:rsid w:val="00194748"/>
    <w:rsid w:val="001B53BC"/>
    <w:rsid w:val="001C19A5"/>
    <w:rsid w:val="001D5B6A"/>
    <w:rsid w:val="001F1174"/>
    <w:rsid w:val="002027BE"/>
    <w:rsid w:val="0025658D"/>
    <w:rsid w:val="00266B91"/>
    <w:rsid w:val="00280130"/>
    <w:rsid w:val="00280B5F"/>
    <w:rsid w:val="002F2EB7"/>
    <w:rsid w:val="00330685"/>
    <w:rsid w:val="0033132B"/>
    <w:rsid w:val="00366BEE"/>
    <w:rsid w:val="00382857"/>
    <w:rsid w:val="00382987"/>
    <w:rsid w:val="003A7638"/>
    <w:rsid w:val="003C22BB"/>
    <w:rsid w:val="003C54A5"/>
    <w:rsid w:val="0040541A"/>
    <w:rsid w:val="00407C8C"/>
    <w:rsid w:val="004138AE"/>
    <w:rsid w:val="00415346"/>
    <w:rsid w:val="00420EC7"/>
    <w:rsid w:val="00436D59"/>
    <w:rsid w:val="00440639"/>
    <w:rsid w:val="004527DB"/>
    <w:rsid w:val="00464E46"/>
    <w:rsid w:val="004709C7"/>
    <w:rsid w:val="00476557"/>
    <w:rsid w:val="004778F0"/>
    <w:rsid w:val="00484513"/>
    <w:rsid w:val="004D26AA"/>
    <w:rsid w:val="00504955"/>
    <w:rsid w:val="005452B8"/>
    <w:rsid w:val="0059147F"/>
    <w:rsid w:val="005A1945"/>
    <w:rsid w:val="005C39BF"/>
    <w:rsid w:val="005F6A14"/>
    <w:rsid w:val="006066D4"/>
    <w:rsid w:val="006308D6"/>
    <w:rsid w:val="00690392"/>
    <w:rsid w:val="00693EBA"/>
    <w:rsid w:val="00694E32"/>
    <w:rsid w:val="006E582C"/>
    <w:rsid w:val="00700A21"/>
    <w:rsid w:val="00774ACA"/>
    <w:rsid w:val="007B2FAD"/>
    <w:rsid w:val="007C1899"/>
    <w:rsid w:val="007D0852"/>
    <w:rsid w:val="007D2DC4"/>
    <w:rsid w:val="007E170C"/>
    <w:rsid w:val="008332AE"/>
    <w:rsid w:val="008346D5"/>
    <w:rsid w:val="00851257"/>
    <w:rsid w:val="00852CC5"/>
    <w:rsid w:val="00853871"/>
    <w:rsid w:val="00867778"/>
    <w:rsid w:val="0088740C"/>
    <w:rsid w:val="008B10F3"/>
    <w:rsid w:val="008B1BEF"/>
    <w:rsid w:val="008E4CE0"/>
    <w:rsid w:val="008F42A0"/>
    <w:rsid w:val="009140EC"/>
    <w:rsid w:val="00931EFD"/>
    <w:rsid w:val="009322B4"/>
    <w:rsid w:val="00946093"/>
    <w:rsid w:val="009544DC"/>
    <w:rsid w:val="0097261A"/>
    <w:rsid w:val="00973BE0"/>
    <w:rsid w:val="00987DF8"/>
    <w:rsid w:val="00987F5A"/>
    <w:rsid w:val="009C64E7"/>
    <w:rsid w:val="009D2094"/>
    <w:rsid w:val="009F33E7"/>
    <w:rsid w:val="00A23BFE"/>
    <w:rsid w:val="00A30EFE"/>
    <w:rsid w:val="00A44414"/>
    <w:rsid w:val="00A53422"/>
    <w:rsid w:val="00A73829"/>
    <w:rsid w:val="00A902BF"/>
    <w:rsid w:val="00AE1160"/>
    <w:rsid w:val="00AF2B95"/>
    <w:rsid w:val="00B23E69"/>
    <w:rsid w:val="00B24307"/>
    <w:rsid w:val="00B86150"/>
    <w:rsid w:val="00B8639E"/>
    <w:rsid w:val="00B916AA"/>
    <w:rsid w:val="00BA1731"/>
    <w:rsid w:val="00BD4DBA"/>
    <w:rsid w:val="00BD7FA0"/>
    <w:rsid w:val="00BE6D9A"/>
    <w:rsid w:val="00C2749F"/>
    <w:rsid w:val="00C30CD9"/>
    <w:rsid w:val="00C3735D"/>
    <w:rsid w:val="00C41B3B"/>
    <w:rsid w:val="00C54CC6"/>
    <w:rsid w:val="00CA4B5A"/>
    <w:rsid w:val="00CD7692"/>
    <w:rsid w:val="00CF1780"/>
    <w:rsid w:val="00D42B58"/>
    <w:rsid w:val="00D866D1"/>
    <w:rsid w:val="00D87C82"/>
    <w:rsid w:val="00D96EE0"/>
    <w:rsid w:val="00DD0418"/>
    <w:rsid w:val="00DF301E"/>
    <w:rsid w:val="00E0602B"/>
    <w:rsid w:val="00E2436F"/>
    <w:rsid w:val="00E33EAB"/>
    <w:rsid w:val="00E442DF"/>
    <w:rsid w:val="00E53585"/>
    <w:rsid w:val="00E54B25"/>
    <w:rsid w:val="00E74D99"/>
    <w:rsid w:val="00E8623F"/>
    <w:rsid w:val="00E9485D"/>
    <w:rsid w:val="00E96EEC"/>
    <w:rsid w:val="00EB09D6"/>
    <w:rsid w:val="00EB1C39"/>
    <w:rsid w:val="00ED4D8C"/>
    <w:rsid w:val="00EE1A8F"/>
    <w:rsid w:val="00EE5975"/>
    <w:rsid w:val="00EF0E68"/>
    <w:rsid w:val="00F2631B"/>
    <w:rsid w:val="00F602BD"/>
    <w:rsid w:val="00F71AAC"/>
    <w:rsid w:val="00F7334B"/>
    <w:rsid w:val="00FA2B1A"/>
    <w:rsid w:val="00FA5A2C"/>
    <w:rsid w:val="00FC7C71"/>
    <w:rsid w:val="00FD2CD6"/>
    <w:rsid w:val="00FD69E4"/>
    <w:rsid w:val="00FE16BD"/>
    <w:rsid w:val="00FE2615"/>
    <w:rsid w:val="00FE3238"/>
    <w:rsid w:val="59FAF737"/>
    <w:rsid w:val="5B7FD823"/>
    <w:rsid w:val="73EF05AE"/>
    <w:rsid w:val="7D51AEFC"/>
    <w:rsid w:val="A7DF512E"/>
    <w:rsid w:val="FDFB34F4"/>
    <w:rsid w:val="FF4DD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nhideWhenUsed="0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240"/>
      <w:jc w:val="both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6"/>
    <w:qFormat/>
    <w:uiPriority w:val="0"/>
    <w:pPr>
      <w:spacing w:before="0" w:beforeAutospacing="0" w:after="0"/>
      <w:jc w:val="left"/>
    </w:pPr>
    <w:rPr>
      <w:rFonts w:ascii="PMingLiU" w:hAnsi="PMingLiU" w:eastAsia="PMingLiU" w:cs="PMingLiU"/>
      <w:sz w:val="20"/>
      <w:szCs w:val="20"/>
      <w:lang w:eastAsia="zh-TW"/>
    </w:rPr>
  </w:style>
  <w:style w:type="paragraph" w:styleId="3">
    <w:name w:val="Body Text"/>
    <w:basedOn w:val="1"/>
    <w:link w:val="11"/>
    <w:unhideWhenUsed/>
    <w:qFormat/>
    <w:uiPriority w:val="99"/>
    <w:rPr>
      <w:rFonts w:cs="Simplified Arabic"/>
    </w:rPr>
  </w:style>
  <w:style w:type="paragraph" w:styleId="4">
    <w:name w:val="Balloon Text"/>
    <w:basedOn w:val="1"/>
    <w:link w:val="15"/>
    <w:semiHidden/>
    <w:unhideWhenUsed/>
    <w:qFormat/>
    <w:uiPriority w:val="99"/>
    <w:pPr>
      <w:spacing w:before="0" w:after="0"/>
    </w:pPr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annotation reference"/>
    <w:qFormat/>
    <w:uiPriority w:val="99"/>
    <w:rPr>
      <w:sz w:val="16"/>
    </w:rPr>
  </w:style>
  <w:style w:type="character" w:customStyle="1" w:styleId="11">
    <w:name w:val="正文文本 字符"/>
    <w:basedOn w:val="9"/>
    <w:link w:val="3"/>
    <w:qFormat/>
    <w:uiPriority w:val="99"/>
    <w:rPr>
      <w:rFonts w:ascii="Times New Roman" w:hAnsi="Times New Roman" w:eastAsia="宋体" w:cs="Simplified Arabic"/>
      <w:kern w:val="0"/>
      <w:sz w:val="24"/>
    </w:rPr>
  </w:style>
  <w:style w:type="paragraph" w:customStyle="1" w:styleId="12">
    <w:name w:val="修订1"/>
    <w:hidden/>
    <w:semiHidden/>
    <w:qFormat/>
    <w:uiPriority w:val="99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customStyle="1" w:styleId="13">
    <w:name w:val="页眉 字符"/>
    <w:basedOn w:val="9"/>
    <w:link w:val="6"/>
    <w:qFormat/>
    <w:uiPriority w:val="99"/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14">
    <w:name w:val="页脚 字符"/>
    <w:basedOn w:val="9"/>
    <w:link w:val="5"/>
    <w:qFormat/>
    <w:uiPriority w:val="99"/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15">
    <w:name w:val="批注框文本 字符"/>
    <w:basedOn w:val="9"/>
    <w:link w:val="4"/>
    <w:semiHidden/>
    <w:qFormat/>
    <w:uiPriority w:val="99"/>
    <w:rPr>
      <w:rFonts w:ascii="Times New Roman" w:hAnsi="Times New Roman" w:eastAsia="宋体" w:cs="Times New Roman"/>
      <w:kern w:val="0"/>
      <w:sz w:val="18"/>
      <w:szCs w:val="18"/>
    </w:rPr>
  </w:style>
  <w:style w:type="character" w:customStyle="1" w:styleId="16">
    <w:name w:val="批注文字 字符"/>
    <w:basedOn w:val="9"/>
    <w:link w:val="2"/>
    <w:qFormat/>
    <w:uiPriority w:val="0"/>
    <w:rPr>
      <w:rFonts w:ascii="PMingLiU" w:hAnsi="PMingLiU" w:eastAsia="PMingLiU" w:cs="PMingLiU"/>
      <w:kern w:val="0"/>
      <w:sz w:val="20"/>
      <w:szCs w:val="20"/>
      <w:lang w:eastAsia="zh-TW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140</Words>
  <Characters>798</Characters>
  <Lines>6</Lines>
  <Paragraphs>1</Paragraphs>
  <TotalTime>0</TotalTime>
  <ScaleCrop>false</ScaleCrop>
  <LinksUpToDate>false</LinksUpToDate>
  <CharactersWithSpaces>937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2022-12-05T10:57:00Z</dcterms:created>
  <dc:creator>Sunland</dc:creator>
  <cp:lastModifiedBy>scjgj</cp:lastModifiedBy>
  <dcterms:modified xsi:type="dcterms:W3CDTF">2023-12-15T16:39:07Z</dcterms:modified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</Properties>
</file>