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bCs/>
          <w:sz w:val="36"/>
          <w:szCs w:val="36"/>
        </w:rPr>
      </w:pPr>
      <w:r>
        <w:rPr>
          <w:rFonts w:eastAsia="黑体"/>
          <w:bCs/>
          <w:sz w:val="36"/>
          <w:szCs w:val="36"/>
        </w:rPr>
        <w:t>经营者集中简易案件公示表</w:t>
      </w:r>
    </w:p>
    <w:tbl>
      <w:tblPr>
        <w:tblStyle w:val="11"/>
        <w:tblW w:w="9102"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5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tcBorders>
              <w:top w:val="single" w:color="auto" w:sz="4" w:space="0"/>
              <w:left w:val="single" w:color="auto" w:sz="4" w:space="0"/>
              <w:bottom w:val="single" w:color="auto" w:sz="4" w:space="0"/>
              <w:right w:val="single" w:color="auto" w:sz="4" w:space="0"/>
            </w:tcBorders>
            <w:shd w:val="clear" w:color="auto" w:fill="D9D9D9"/>
            <w:vAlign w:val="center"/>
          </w:tcPr>
          <w:p>
            <w:pPr>
              <w:pStyle w:val="4"/>
              <w:widowControl w:val="0"/>
              <w:autoSpaceDE w:val="0"/>
              <w:adjustRightInd w:val="0"/>
              <w:snapToGrid w:val="0"/>
              <w:spacing w:before="0" w:beforeAutospacing="0" w:after="0"/>
              <w:rPr>
                <w:rFonts w:cs="Times New Roman"/>
                <w:bCs/>
              </w:rPr>
            </w:pPr>
            <w:r>
              <w:rPr>
                <w:rFonts w:cs="Times New Roman"/>
                <w:bCs/>
              </w:rPr>
              <w:t>案件名称</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widowControl w:val="0"/>
              <w:autoSpaceDE w:val="0"/>
              <w:adjustRightInd w:val="0"/>
              <w:snapToGrid w:val="0"/>
              <w:spacing w:before="0" w:beforeAutospacing="0" w:after="0"/>
              <w:rPr>
                <w:bCs/>
              </w:rPr>
            </w:pPr>
            <w:r>
              <w:rPr>
                <w:rFonts w:hint="eastAsia"/>
                <w:szCs w:val="21"/>
              </w:rPr>
              <w:t>熙维资本合伙有限公司收购Artemis Acquisitions Topco有限公司股权案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tcBorders>
              <w:top w:val="single" w:color="auto" w:sz="4" w:space="0"/>
              <w:left w:val="single" w:color="auto" w:sz="4" w:space="0"/>
              <w:bottom w:val="single" w:color="auto" w:sz="4" w:space="0"/>
              <w:right w:val="single" w:color="auto" w:sz="4" w:space="0"/>
            </w:tcBorders>
            <w:shd w:val="clear" w:color="auto" w:fill="D9D9D9"/>
            <w:vAlign w:val="center"/>
          </w:tcPr>
          <w:p>
            <w:pPr>
              <w:pStyle w:val="4"/>
              <w:widowControl w:val="0"/>
              <w:autoSpaceDE w:val="0"/>
              <w:adjustRightInd w:val="0"/>
              <w:snapToGrid w:val="0"/>
              <w:spacing w:before="0" w:beforeAutospacing="0" w:after="0"/>
              <w:rPr>
                <w:rFonts w:cs="Times New Roman"/>
                <w:bCs/>
              </w:rPr>
            </w:pPr>
            <w:r>
              <w:rPr>
                <w:rFonts w:cs="Times New Roman"/>
                <w:bCs/>
              </w:rPr>
              <w:t>交易概况（限200字内）</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widowControl w:val="0"/>
              <w:autoSpaceDE w:val="0"/>
              <w:adjustRightInd w:val="0"/>
              <w:snapToGrid w:val="0"/>
              <w:spacing w:before="0" w:beforeAutospacing="0" w:after="0"/>
            </w:pPr>
            <w:bookmarkStart w:id="0" w:name="_Hlk171662695"/>
            <w:r>
              <w:t>2024年6月27日，</w:t>
            </w:r>
            <w:bookmarkStart w:id="1" w:name="_Hlk171662454"/>
            <w:r>
              <w:rPr>
                <w:rFonts w:hint="eastAsia"/>
                <w:szCs w:val="21"/>
              </w:rPr>
              <w:t>熙维资本合伙有限公司（“</w:t>
            </w:r>
            <w:r>
              <w:rPr>
                <w:b/>
                <w:bCs/>
              </w:rPr>
              <w:t>熙维</w:t>
            </w:r>
            <w:bookmarkStart w:id="2" w:name="_GoBack"/>
            <w:bookmarkEnd w:id="2"/>
            <w:r>
              <w:rPr>
                <w:b/>
                <w:bCs/>
              </w:rPr>
              <w:t>资本</w:t>
            </w:r>
            <w:r>
              <w:rPr>
                <w:rFonts w:hint="eastAsia"/>
                <w:szCs w:val="21"/>
              </w:rPr>
              <w:t>”）</w:t>
            </w:r>
            <w:r>
              <w:t>通过</w:t>
            </w:r>
            <w:r>
              <w:rPr>
                <w:rFonts w:hint="eastAsia"/>
              </w:rPr>
              <w:t>熙维第九基金间接拥</w:t>
            </w:r>
            <w:r>
              <w:rPr>
                <w:rFonts w:hint="eastAsia"/>
                <w:szCs w:val="21"/>
              </w:rPr>
              <w:t>有的新设投资工具</w:t>
            </w:r>
            <w:r>
              <w:t>沃夫投资有限公司</w:t>
            </w:r>
            <w:r>
              <w:rPr>
                <w:rFonts w:hint="eastAsia"/>
              </w:rPr>
              <w:t>（“</w:t>
            </w:r>
            <w:r>
              <w:rPr>
                <w:b/>
                <w:bCs/>
              </w:rPr>
              <w:t>沃夫投资</w:t>
            </w:r>
            <w:r>
              <w:rPr>
                <w:rFonts w:hint="eastAsia"/>
              </w:rPr>
              <w:t>”）</w:t>
            </w:r>
            <w:bookmarkEnd w:id="1"/>
            <w:r>
              <w:rPr>
                <w:rFonts w:hint="eastAsia"/>
              </w:rPr>
              <w:t>与盛峰资本管理第六普通合伙有限公司（“</w:t>
            </w:r>
            <w:r>
              <w:rPr>
                <w:rFonts w:hint="eastAsia"/>
                <w:b/>
                <w:bCs/>
              </w:rPr>
              <w:t>盛峰第六普通合伙</w:t>
            </w:r>
            <w:r>
              <w:rPr>
                <w:rFonts w:hint="eastAsia"/>
              </w:rPr>
              <w:t>”）管理的</w:t>
            </w:r>
            <w:r>
              <w:t>盛峰第六</w:t>
            </w:r>
            <w:r>
              <w:rPr>
                <w:rFonts w:hint="eastAsia"/>
              </w:rPr>
              <w:t>基金拥有的一家实体、</w:t>
            </w:r>
            <w:r>
              <w:t>Artemis Acquisitions Topco有限公司（“</w:t>
            </w:r>
            <w:r>
              <w:rPr>
                <w:b/>
                <w:bCs/>
              </w:rPr>
              <w:t>目标公司”</w:t>
            </w:r>
            <w:r>
              <w:t>）等</w:t>
            </w:r>
            <w:r>
              <w:rPr>
                <w:rFonts w:hint="eastAsia"/>
              </w:rPr>
              <w:t>签订买卖协议</w:t>
            </w:r>
            <w:r>
              <w:t>。</w:t>
            </w:r>
            <w:r>
              <w:rPr>
                <w:rFonts w:hint="eastAsia"/>
              </w:rPr>
              <w:t>根据该协议，沃夫投资同意购买目标公司全部已发行股本。盛峰第六基金及若干卖方再收购沃夫投资的股份，从而熙维第九基金和盛峰第六普通合伙将获得沃夫投资约67%和29%的已发行股本，间接控制沃夫投资。目标公司（通过PPF匈牙利有限公司及其子公司）从事宠物食品的制造和供应。</w:t>
            </w:r>
          </w:p>
          <w:p>
            <w:pPr>
              <w:widowControl w:val="0"/>
              <w:autoSpaceDE w:val="0"/>
              <w:adjustRightInd w:val="0"/>
              <w:snapToGrid w:val="0"/>
              <w:spacing w:before="0" w:beforeAutospacing="0" w:after="0"/>
            </w:pPr>
          </w:p>
          <w:p>
            <w:pPr>
              <w:widowControl w:val="0"/>
              <w:autoSpaceDE w:val="0"/>
              <w:adjustRightInd w:val="0"/>
              <w:snapToGrid w:val="0"/>
              <w:spacing w:before="0" w:beforeAutospacing="0" w:after="0"/>
            </w:pPr>
            <w:r>
              <w:rPr>
                <w:rFonts w:hint="eastAsia"/>
              </w:rPr>
              <w:t>交易前，目标公司由盛峰第六普通合伙间接单独控制。交易后，目标公司将由盛峰第六普通合伙和熙维资本最终间</w:t>
            </w:r>
            <w:r>
              <w:t>接共同控制。</w:t>
            </w:r>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tcBorders>
              <w:top w:val="nil"/>
              <w:left w:val="single" w:color="auto" w:sz="4" w:space="0"/>
              <w:right w:val="single" w:color="auto" w:sz="4" w:space="0"/>
            </w:tcBorders>
            <w:shd w:val="clear" w:color="auto" w:fill="D9D9D9"/>
            <w:vAlign w:val="center"/>
          </w:tcPr>
          <w:p>
            <w:pPr>
              <w:pStyle w:val="4"/>
              <w:widowControl w:val="0"/>
              <w:autoSpaceDE w:val="0"/>
              <w:adjustRightInd w:val="0"/>
              <w:snapToGrid w:val="0"/>
              <w:spacing w:before="0" w:beforeAutospacing="0" w:after="0"/>
              <w:rPr>
                <w:rFonts w:cs="Times New Roman"/>
                <w:bCs/>
              </w:rPr>
            </w:pPr>
            <w:r>
              <w:rPr>
                <w:rFonts w:cs="Times New Roman"/>
                <w:bCs/>
              </w:rPr>
              <w:t>参与集中的经营者简介（每个限100字以内）</w:t>
            </w:r>
          </w:p>
        </w:tc>
        <w:tc>
          <w:tcPr>
            <w:tcW w:w="1607" w:type="dxa"/>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before="0" w:beforeAutospacing="0" w:after="0"/>
              <w:rPr>
                <w:rFonts w:cs="Times New Roman"/>
                <w:bCs/>
              </w:rPr>
            </w:pPr>
            <w:r>
              <w:rPr>
                <w:rFonts w:hint="eastAsia" w:cs="Times New Roman"/>
                <w:bCs/>
              </w:rPr>
              <w:t>1.熙维资本</w:t>
            </w:r>
          </w:p>
        </w:tc>
        <w:tc>
          <w:tcPr>
            <w:tcW w:w="5555" w:type="dxa"/>
            <w:tcBorders>
              <w:top w:val="single" w:color="auto" w:sz="4" w:space="0"/>
              <w:left w:val="single" w:color="auto" w:sz="4" w:space="0"/>
              <w:bottom w:val="single" w:color="auto" w:sz="4" w:space="0"/>
              <w:right w:val="single" w:color="auto" w:sz="4" w:space="0"/>
            </w:tcBorders>
            <w:vAlign w:val="center"/>
          </w:tcPr>
          <w:p>
            <w:pPr>
              <w:snapToGrid w:val="0"/>
              <w:spacing w:before="0" w:beforeAutospacing="0" w:after="0"/>
            </w:pPr>
            <w:r>
              <w:rPr>
                <w:rFonts w:hint="eastAsia"/>
                <w:szCs w:val="21"/>
              </w:rPr>
              <w:t>熙维资本于2021年12月21日于泽西岛注册成立，并在阿姆斯特丹泛欧证券交易所上市。</w:t>
            </w:r>
            <w:r>
              <w:rPr>
                <w:rFonts w:hint="eastAsia"/>
              </w:rPr>
              <w:t>熙维资本及其各时期的某些子公司的主要业务是代表熙维基金在多个行业提供投资咨询与投资管理。</w:t>
            </w:r>
          </w:p>
          <w:p>
            <w:pPr>
              <w:snapToGrid w:val="0"/>
              <w:spacing w:before="0" w:beforeAutospacing="0" w:after="0"/>
              <w:rPr>
                <w:szCs w:val="21"/>
              </w:rPr>
            </w:pPr>
          </w:p>
          <w:p>
            <w:pPr>
              <w:snapToGrid w:val="0"/>
              <w:spacing w:before="0" w:beforeAutospacing="0" w:after="0"/>
              <w:rPr>
                <w:bCs/>
              </w:rPr>
            </w:pPr>
            <w:r>
              <w:rPr>
                <w:rFonts w:hint="eastAsia"/>
                <w:szCs w:val="21"/>
              </w:rPr>
              <w:t>熙维资本无最终控制人。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4" w:hRule="atLeast"/>
        </w:trPr>
        <w:tc>
          <w:tcPr>
            <w:tcW w:w="1940" w:type="dxa"/>
            <w:vMerge w:val="continue"/>
            <w:tcBorders>
              <w:left w:val="single" w:color="auto" w:sz="4" w:space="0"/>
              <w:right w:val="single" w:color="auto" w:sz="4" w:space="0"/>
            </w:tcBorders>
            <w:vAlign w:val="center"/>
          </w:tcPr>
          <w:p>
            <w:pPr>
              <w:spacing w:before="0" w:beforeAutospacing="0" w:after="0"/>
              <w:jc w:val="left"/>
              <w:rPr>
                <w:bCs/>
              </w:rPr>
            </w:pPr>
          </w:p>
        </w:tc>
        <w:tc>
          <w:tcPr>
            <w:tcW w:w="1607" w:type="dxa"/>
            <w:tcBorders>
              <w:top w:val="single" w:color="auto" w:sz="4" w:space="0"/>
              <w:left w:val="single" w:color="auto" w:sz="4" w:space="0"/>
              <w:right w:val="single" w:color="auto" w:sz="4" w:space="0"/>
            </w:tcBorders>
            <w:vAlign w:val="center"/>
          </w:tcPr>
          <w:p>
            <w:pPr>
              <w:pStyle w:val="4"/>
              <w:widowControl w:val="0"/>
              <w:autoSpaceDE w:val="0"/>
              <w:adjustRightInd w:val="0"/>
              <w:snapToGrid w:val="0"/>
              <w:spacing w:before="0" w:beforeAutospacing="0" w:after="0"/>
              <w:rPr>
                <w:rFonts w:cs="Times New Roman"/>
                <w:bCs/>
              </w:rPr>
            </w:pPr>
            <w:r>
              <w:rPr>
                <w:rFonts w:hint="eastAsia" w:cs="Times New Roman"/>
                <w:bCs/>
              </w:rPr>
              <w:t>2.盛峰第六</w:t>
            </w:r>
            <w:r>
              <w:rPr>
                <w:rFonts w:hint="eastAsia"/>
              </w:rPr>
              <w:t>普通合伙</w:t>
            </w:r>
          </w:p>
        </w:tc>
        <w:tc>
          <w:tcPr>
            <w:tcW w:w="5555" w:type="dxa"/>
            <w:tcBorders>
              <w:top w:val="single" w:color="auto" w:sz="4" w:space="0"/>
              <w:left w:val="single" w:color="auto" w:sz="4" w:space="0"/>
              <w:right w:val="single" w:color="auto" w:sz="4" w:space="0"/>
            </w:tcBorders>
            <w:vAlign w:val="center"/>
          </w:tcPr>
          <w:p>
            <w:pPr>
              <w:widowControl w:val="0"/>
              <w:autoSpaceDE w:val="0"/>
              <w:adjustRightInd w:val="0"/>
              <w:snapToGrid w:val="0"/>
              <w:spacing w:before="0" w:beforeAutospacing="0" w:after="0"/>
              <w:rPr>
                <w:rFonts w:hint="eastAsia" w:ascii="宋体" w:hAnsi="宋体" w:cs="宋体"/>
                <w:bCs/>
                <w:color w:val="000000"/>
              </w:rPr>
            </w:pPr>
            <w:r>
              <w:rPr>
                <w:rFonts w:hint="eastAsia"/>
              </w:rPr>
              <w:t>盛峰第六普通合伙</w:t>
            </w:r>
            <w:r>
              <w:t>于2015年8月14日</w:t>
            </w:r>
            <w:r>
              <w:rPr>
                <w:rFonts w:hint="eastAsia"/>
              </w:rPr>
              <w:t>于</w:t>
            </w:r>
            <w:r>
              <w:t>根西岛注册成立。</w:t>
            </w:r>
            <w:r>
              <w:rPr>
                <w:rFonts w:hint="eastAsia"/>
              </w:rPr>
              <w:t>盛峰第六普通合伙是盛峰的一部分。</w:t>
            </w:r>
            <w:r>
              <w:rPr>
                <w:rFonts w:hint="eastAsia"/>
                <w:szCs w:val="21"/>
              </w:rPr>
              <w:t>盛峰从事</w:t>
            </w:r>
            <w:r>
              <w:rPr>
                <w:rFonts w:hint="eastAsia" w:ascii="宋体" w:hAnsi="宋体" w:cs="宋体"/>
                <w:bCs/>
                <w:color w:val="000000"/>
              </w:rPr>
              <w:t>私募股权业务，致力于为许多投资基金提供投资管理和投资咨询服务。</w:t>
            </w:r>
          </w:p>
          <w:p>
            <w:pPr>
              <w:widowControl w:val="0"/>
              <w:autoSpaceDE w:val="0"/>
              <w:adjustRightInd w:val="0"/>
              <w:snapToGrid w:val="0"/>
              <w:spacing w:before="0" w:beforeAutospacing="0" w:after="0"/>
            </w:pPr>
          </w:p>
          <w:p>
            <w:pPr>
              <w:widowControl w:val="0"/>
              <w:autoSpaceDE w:val="0"/>
              <w:adjustRightInd w:val="0"/>
              <w:snapToGrid w:val="0"/>
              <w:spacing w:before="0" w:beforeAutospacing="0" w:after="0"/>
            </w:pPr>
            <w:r>
              <w:rPr>
                <w:rFonts w:hint="eastAsia"/>
                <w:szCs w:val="21"/>
              </w:rPr>
              <w:t>盛峰第六</w:t>
            </w:r>
            <w:r>
              <w:rPr>
                <w:rFonts w:hint="eastAsia"/>
              </w:rPr>
              <w:t>普通合伙由盛峰合伙有限合伙</w:t>
            </w:r>
            <w:r>
              <w:rPr>
                <w:rFonts w:hint="eastAsia"/>
                <w:szCs w:val="21"/>
              </w:rPr>
              <w:t>最终控制。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tcBorders>
              <w:top w:val="nil"/>
              <w:left w:val="single" w:color="auto" w:sz="4" w:space="0"/>
              <w:bottom w:val="single" w:color="auto" w:sz="4" w:space="0"/>
              <w:right w:val="single" w:color="auto" w:sz="4" w:space="0"/>
            </w:tcBorders>
            <w:shd w:val="clear" w:color="auto" w:fill="D9D9D9"/>
            <w:vAlign w:val="center"/>
          </w:tcPr>
          <w:p>
            <w:pPr>
              <w:pStyle w:val="4"/>
              <w:widowControl w:val="0"/>
              <w:autoSpaceDE w:val="0"/>
              <w:adjustRightInd w:val="0"/>
              <w:snapToGrid w:val="0"/>
              <w:spacing w:before="0" w:beforeAutospacing="0" w:after="0"/>
              <w:rPr>
                <w:rFonts w:cs="Times New Roman"/>
                <w:bCs/>
              </w:rPr>
            </w:pPr>
            <w:r>
              <w:rPr>
                <w:rFonts w:cs="Times New Roman"/>
                <w:bCs/>
              </w:rPr>
              <w:t>简易案件理由（可以单选，也可以多选）</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before="0" w:beforeAutospacing="0" w:after="0"/>
              <w:rPr>
                <w:rFonts w:cs="Times New Roman"/>
                <w:bCs/>
              </w:rPr>
            </w:pPr>
            <w:r>
              <w:rPr>
                <w:rFonts w:cs="Times New Roman"/>
                <w:lang w:val="en-GB"/>
              </w:rPr>
              <w:sym w:font="Wingdings" w:char="F0A8"/>
            </w:r>
            <w:r>
              <w:rPr>
                <w:rFonts w:cs="Times New Roman"/>
                <w:lang w:val="en-GB"/>
              </w:rPr>
              <w:t xml:space="preserve"> </w:t>
            </w:r>
            <w:r>
              <w:rPr>
                <w:rFonts w:cs="Times New Roman"/>
                <w:bCs/>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before="0" w:beforeAutospacing="0" w:after="0"/>
              <w:rPr>
                <w:rFonts w:cs="Times New Roman"/>
                <w:bCs/>
              </w:rPr>
            </w:pPr>
            <w:r>
              <w:rPr>
                <w:rFonts w:cs="Times New Roman"/>
                <w:lang w:val="en-GB"/>
              </w:rPr>
              <w:sym w:font="Wingdings" w:char="F0A8"/>
            </w:r>
            <w:r>
              <w:rPr>
                <w:rFonts w:cs="Times New Roman"/>
                <w:lang w:val="en-GB"/>
              </w:rPr>
              <w:t xml:space="preserve"> </w:t>
            </w:r>
            <w:r>
              <w:rPr>
                <w:rFonts w:cs="Times New Roman"/>
                <w:bCs/>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before="0" w:beforeAutospacing="0" w:after="0"/>
              <w:rPr>
                <w:rFonts w:cs="Times New Roman"/>
                <w:bCs/>
              </w:rPr>
            </w:pPr>
            <w:r>
              <w:rPr>
                <w:rFonts w:cs="Times New Roman"/>
                <w:lang w:val="en-GB"/>
              </w:rPr>
              <w:sym w:font="Wingdings" w:char="F0A8"/>
            </w:r>
            <w:r>
              <w:rPr>
                <w:rFonts w:cs="Times New Roman"/>
                <w:bCs/>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before="0" w:beforeAutospacing="0" w:after="0"/>
              <w:rPr>
                <w:rFonts w:cs="Times New Roman"/>
                <w:bCs/>
              </w:rPr>
            </w:pPr>
            <w:r>
              <w:rPr>
                <w:rFonts w:cs="Times New Roman"/>
                <w:lang w:val="en-GB"/>
              </w:rPr>
              <w:sym w:font="Wingdings" w:char="F0A8"/>
            </w:r>
            <w:r>
              <w:rPr>
                <w:rFonts w:cs="Times New Roman"/>
                <w:bCs/>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before="0" w:beforeAutospacing="0" w:after="0"/>
              <w:rPr>
                <w:rFonts w:cs="Times New Roman"/>
                <w:bCs/>
              </w:rPr>
            </w:pPr>
            <w:r>
              <w:rPr>
                <w:rFonts w:cs="Times New Roman"/>
                <w:lang w:val="en-GB"/>
              </w:rPr>
              <w:sym w:font="Wingdings" w:char="00FE"/>
            </w:r>
            <w:r>
              <w:rPr>
                <w:rFonts w:cs="Times New Roman"/>
                <w:bCs/>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tcBorders>
              <w:top w:val="nil"/>
              <w:left w:val="single" w:color="auto" w:sz="4" w:space="0"/>
              <w:bottom w:val="single" w:color="auto" w:sz="4" w:space="0"/>
              <w:right w:val="single" w:color="auto" w:sz="4" w:space="0"/>
            </w:tcBorders>
            <w:vAlign w:val="center"/>
          </w:tcPr>
          <w:p>
            <w:pPr>
              <w:spacing w:before="0" w:beforeAutospacing="0" w:after="0"/>
              <w:jc w:val="left"/>
              <w:rPr>
                <w:bCs/>
              </w:rPr>
            </w:pP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before="0" w:beforeAutospacing="0" w:after="0"/>
              <w:rPr>
                <w:rFonts w:cs="Times New Roman"/>
                <w:bCs/>
              </w:rPr>
            </w:pPr>
            <w:r>
              <w:rPr>
                <w:rFonts w:cs="Times New Roman"/>
                <w:lang w:val="en-GB"/>
              </w:rPr>
              <w:sym w:font="Wingdings" w:char="F0A8"/>
            </w:r>
            <w:r>
              <w:rPr>
                <w:rFonts w:cs="Times New Roman"/>
                <w:bCs/>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1" w:hRule="atLeast"/>
        </w:trPr>
        <w:tc>
          <w:tcPr>
            <w:tcW w:w="1940" w:type="dxa"/>
            <w:tcBorders>
              <w:top w:val="single" w:color="auto" w:sz="4" w:space="0"/>
              <w:left w:val="single" w:color="auto" w:sz="4" w:space="0"/>
              <w:bottom w:val="single" w:color="auto" w:sz="4" w:space="0"/>
              <w:right w:val="single" w:color="auto" w:sz="4" w:space="0"/>
            </w:tcBorders>
            <w:shd w:val="clear" w:color="auto" w:fill="D9D9D9"/>
            <w:vAlign w:val="center"/>
          </w:tcPr>
          <w:p>
            <w:pPr>
              <w:pStyle w:val="4"/>
              <w:widowControl w:val="0"/>
              <w:autoSpaceDE w:val="0"/>
              <w:adjustRightInd w:val="0"/>
              <w:snapToGrid w:val="0"/>
              <w:spacing w:before="0" w:beforeAutospacing="0" w:after="0"/>
              <w:rPr>
                <w:rFonts w:cs="Times New Roman"/>
                <w:bCs/>
              </w:rPr>
            </w:pPr>
            <w:r>
              <w:rPr>
                <w:rFonts w:cs="Times New Roman"/>
                <w:bCs/>
              </w:rPr>
              <w:t>备注</w:t>
            </w:r>
          </w:p>
        </w:tc>
        <w:tc>
          <w:tcPr>
            <w:tcW w:w="7162" w:type="dxa"/>
            <w:gridSpan w:val="2"/>
            <w:tcBorders>
              <w:top w:val="single" w:color="auto" w:sz="4" w:space="0"/>
              <w:left w:val="single" w:color="auto" w:sz="4" w:space="0"/>
              <w:bottom w:val="single" w:color="auto" w:sz="4" w:space="0"/>
              <w:right w:val="single" w:color="auto" w:sz="4" w:space="0"/>
            </w:tcBorders>
            <w:vAlign w:val="center"/>
          </w:tcPr>
          <w:p>
            <w:pPr>
              <w:pStyle w:val="4"/>
              <w:widowControl w:val="0"/>
              <w:autoSpaceDE w:val="0"/>
              <w:adjustRightInd w:val="0"/>
              <w:snapToGrid w:val="0"/>
              <w:spacing w:before="0" w:beforeAutospacing="0" w:after="0"/>
              <w:rPr>
                <w:rFonts w:cs="Times New Roman"/>
                <w:bCs/>
              </w:rPr>
            </w:pPr>
            <w:r>
              <w:rPr>
                <w:rFonts w:hint="eastAsia" w:cs="Times New Roman"/>
                <w:bCs/>
              </w:rPr>
              <w:t>不适用</w:t>
            </w:r>
          </w:p>
        </w:tc>
      </w:tr>
    </w:tbl>
    <w:p/>
    <w:sectPr>
      <w:headerReference r:id="rId4" w:type="default"/>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10002FF" w:usb1="4000FCFF" w:usb2="00000009" w:usb3="00000000" w:csb0="6000019F" w:csb1="DFD70000"/>
  </w:font>
  <w:font w:name="PMingLiU">
    <w:panose1 w:val="02020500000000000000"/>
    <w:charset w:val="88"/>
    <w:family w:val="roman"/>
    <w:pitch w:val="default"/>
    <w:sig w:usb0="A00002FF" w:usb1="28CFFCFA" w:usb2="00000016" w:usb3="00000000" w:csb0="00100001" w:csb1="00000000"/>
  </w:font>
  <w:font w:name="Simplified Arabic">
    <w:panose1 w:val="02020603050405020304"/>
    <w:charset w:val="B2"/>
    <w:family w:val="roman"/>
    <w:pitch w:val="default"/>
    <w:sig w:usb0="00002003" w:usb1="00000000" w:usb2="00000000" w:usb3="00000000" w:csb0="00000041" w:csb1="200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b/>
        <w:sz w:val="24"/>
        <w:szCs w:val="24"/>
      </w:rPr>
      <w:fldChar w:fldCharType="begin"/>
    </w:r>
    <w:r>
      <w:rPr>
        <w:b/>
      </w:rPr>
      <w:instrText xml:space="preserve">PAGE</w:instrText>
    </w:r>
    <w:r>
      <w:rPr>
        <w:b/>
        <w:sz w:val="24"/>
        <w:szCs w:val="24"/>
      </w:rPr>
      <w:fldChar w:fldCharType="separate"/>
    </w:r>
    <w:r>
      <w:rPr>
        <w:b/>
        <w:sz w:val="24"/>
        <w:szCs w:val="24"/>
      </w:rPr>
      <w:t>1</w:t>
    </w:r>
    <w:r>
      <w:rPr>
        <w:b/>
        <w:sz w:val="24"/>
        <w:szCs w:val="24"/>
      </w:rPr>
      <w:fldChar w:fldCharType="end"/>
    </w:r>
    <w:r>
      <w:rPr>
        <w:lang w:val="zh-CN"/>
      </w:rPr>
      <w:t xml:space="preserve"> / </w:t>
    </w:r>
    <w:r>
      <w:rPr>
        <w:rFonts w:hint="eastAsia"/>
        <w:b/>
      </w:rPr>
      <w:t>2</w:t>
    </w:r>
  </w:p>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jc w:val="right"/>
      <w:rPr>
        <w:i/>
        <w:i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hideGrammaticalErrors/>
  <w:doNotTrackFormatting/>
  <w:documentProtection w:enforcement="0"/>
  <w:styleLockQFSet/>
  <w:defaultTabStop w:val="420"/>
  <w:drawingGridVerticalSpacing w:val="156"/>
  <w:displayHorizontalDrawingGridEvery w:val="0"/>
  <w:displayVerticalDrawingGridEvery w:val="2"/>
  <w:characterSpacingControl w:val="compressPunctuation"/>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LIwMbIwsDQ2MjIyNjZR0lEKTi0uzszPAykwrAUA/XItfSwAAAA="/>
    <w:docVar w:name="CheckedForWebBugs" w:val="True"/>
  </w:docVars>
  <w:rsids>
    <w:rsidRoot w:val="00946093"/>
    <w:rsid w:val="00000405"/>
    <w:rsid w:val="0000333A"/>
    <w:rsid w:val="000034E2"/>
    <w:rsid w:val="0000485D"/>
    <w:rsid w:val="00020860"/>
    <w:rsid w:val="000279EB"/>
    <w:rsid w:val="00032A5F"/>
    <w:rsid w:val="00032EF2"/>
    <w:rsid w:val="0003536E"/>
    <w:rsid w:val="0004029B"/>
    <w:rsid w:val="000434A3"/>
    <w:rsid w:val="000A2AB0"/>
    <w:rsid w:val="000B0426"/>
    <w:rsid w:val="000B27BF"/>
    <w:rsid w:val="000B3FC0"/>
    <w:rsid w:val="000C1229"/>
    <w:rsid w:val="000D28D1"/>
    <w:rsid w:val="000F1DBE"/>
    <w:rsid w:val="001046F7"/>
    <w:rsid w:val="00123BE6"/>
    <w:rsid w:val="00124529"/>
    <w:rsid w:val="001249DE"/>
    <w:rsid w:val="00131B76"/>
    <w:rsid w:val="001353CA"/>
    <w:rsid w:val="00151783"/>
    <w:rsid w:val="001569D2"/>
    <w:rsid w:val="001715D1"/>
    <w:rsid w:val="00171F86"/>
    <w:rsid w:val="0018028D"/>
    <w:rsid w:val="001815DB"/>
    <w:rsid w:val="00185356"/>
    <w:rsid w:val="00186E51"/>
    <w:rsid w:val="00191B35"/>
    <w:rsid w:val="00193D7A"/>
    <w:rsid w:val="001A70A1"/>
    <w:rsid w:val="001B7130"/>
    <w:rsid w:val="001C2479"/>
    <w:rsid w:val="001D4077"/>
    <w:rsid w:val="001D6507"/>
    <w:rsid w:val="001F1070"/>
    <w:rsid w:val="001F1174"/>
    <w:rsid w:val="001F1F6E"/>
    <w:rsid w:val="001F5F09"/>
    <w:rsid w:val="001F6F0D"/>
    <w:rsid w:val="0020051B"/>
    <w:rsid w:val="0020236B"/>
    <w:rsid w:val="002153C0"/>
    <w:rsid w:val="00220FE2"/>
    <w:rsid w:val="00221946"/>
    <w:rsid w:val="00224009"/>
    <w:rsid w:val="002333C7"/>
    <w:rsid w:val="00234B92"/>
    <w:rsid w:val="0024284F"/>
    <w:rsid w:val="00270366"/>
    <w:rsid w:val="0027232F"/>
    <w:rsid w:val="00283D75"/>
    <w:rsid w:val="00285B67"/>
    <w:rsid w:val="002879DA"/>
    <w:rsid w:val="00293D1A"/>
    <w:rsid w:val="002A0ED1"/>
    <w:rsid w:val="002A59A9"/>
    <w:rsid w:val="002E7C68"/>
    <w:rsid w:val="002F1CB6"/>
    <w:rsid w:val="002F2EB7"/>
    <w:rsid w:val="002F456B"/>
    <w:rsid w:val="002F775A"/>
    <w:rsid w:val="002F7B0E"/>
    <w:rsid w:val="00300373"/>
    <w:rsid w:val="00303AD6"/>
    <w:rsid w:val="00306BB9"/>
    <w:rsid w:val="00323092"/>
    <w:rsid w:val="0033132B"/>
    <w:rsid w:val="00336A29"/>
    <w:rsid w:val="00350FE6"/>
    <w:rsid w:val="0035260F"/>
    <w:rsid w:val="003528AC"/>
    <w:rsid w:val="003637E8"/>
    <w:rsid w:val="00365053"/>
    <w:rsid w:val="00365593"/>
    <w:rsid w:val="00366BED"/>
    <w:rsid w:val="00366CFA"/>
    <w:rsid w:val="0037042A"/>
    <w:rsid w:val="00375B4A"/>
    <w:rsid w:val="003760A5"/>
    <w:rsid w:val="00382857"/>
    <w:rsid w:val="00382BD8"/>
    <w:rsid w:val="003860D7"/>
    <w:rsid w:val="003958A5"/>
    <w:rsid w:val="003A7638"/>
    <w:rsid w:val="003C54A5"/>
    <w:rsid w:val="003C648B"/>
    <w:rsid w:val="003D0480"/>
    <w:rsid w:val="003D7F4C"/>
    <w:rsid w:val="003F17CE"/>
    <w:rsid w:val="003F665F"/>
    <w:rsid w:val="004138AE"/>
    <w:rsid w:val="004211EA"/>
    <w:rsid w:val="00430E08"/>
    <w:rsid w:val="004321D8"/>
    <w:rsid w:val="00432F32"/>
    <w:rsid w:val="00434848"/>
    <w:rsid w:val="0043532D"/>
    <w:rsid w:val="00440639"/>
    <w:rsid w:val="00446428"/>
    <w:rsid w:val="004547D6"/>
    <w:rsid w:val="00456F33"/>
    <w:rsid w:val="0046603F"/>
    <w:rsid w:val="00471F00"/>
    <w:rsid w:val="00476557"/>
    <w:rsid w:val="004778F0"/>
    <w:rsid w:val="0048285E"/>
    <w:rsid w:val="00487D1C"/>
    <w:rsid w:val="00494DD2"/>
    <w:rsid w:val="004A69BD"/>
    <w:rsid w:val="004B1112"/>
    <w:rsid w:val="004B2A31"/>
    <w:rsid w:val="004C21ED"/>
    <w:rsid w:val="004C3B36"/>
    <w:rsid w:val="004C5464"/>
    <w:rsid w:val="004C7855"/>
    <w:rsid w:val="004D23B6"/>
    <w:rsid w:val="004E5DA4"/>
    <w:rsid w:val="004F29BD"/>
    <w:rsid w:val="004F5687"/>
    <w:rsid w:val="004F6138"/>
    <w:rsid w:val="0050609B"/>
    <w:rsid w:val="005120E2"/>
    <w:rsid w:val="0051251D"/>
    <w:rsid w:val="00522868"/>
    <w:rsid w:val="00542E25"/>
    <w:rsid w:val="00563BD6"/>
    <w:rsid w:val="005640CA"/>
    <w:rsid w:val="00564E03"/>
    <w:rsid w:val="00573BAE"/>
    <w:rsid w:val="00577750"/>
    <w:rsid w:val="00577792"/>
    <w:rsid w:val="00580AA0"/>
    <w:rsid w:val="005A01D8"/>
    <w:rsid w:val="005A32F5"/>
    <w:rsid w:val="005A3E41"/>
    <w:rsid w:val="005B3B65"/>
    <w:rsid w:val="005B44ED"/>
    <w:rsid w:val="005D6FB4"/>
    <w:rsid w:val="005E09D9"/>
    <w:rsid w:val="005F1314"/>
    <w:rsid w:val="005F2687"/>
    <w:rsid w:val="00603F96"/>
    <w:rsid w:val="00604784"/>
    <w:rsid w:val="0063499D"/>
    <w:rsid w:val="00634B10"/>
    <w:rsid w:val="006429FE"/>
    <w:rsid w:val="00656B8B"/>
    <w:rsid w:val="0066503D"/>
    <w:rsid w:val="006931C4"/>
    <w:rsid w:val="00694E32"/>
    <w:rsid w:val="006A7B95"/>
    <w:rsid w:val="006A7EF6"/>
    <w:rsid w:val="006B0343"/>
    <w:rsid w:val="006B10C2"/>
    <w:rsid w:val="006B1470"/>
    <w:rsid w:val="006B5679"/>
    <w:rsid w:val="006C04C6"/>
    <w:rsid w:val="006D437B"/>
    <w:rsid w:val="006D4D96"/>
    <w:rsid w:val="006D5A4B"/>
    <w:rsid w:val="006E582C"/>
    <w:rsid w:val="006E70CE"/>
    <w:rsid w:val="00702092"/>
    <w:rsid w:val="00716B13"/>
    <w:rsid w:val="00717A78"/>
    <w:rsid w:val="007278D5"/>
    <w:rsid w:val="00742D8B"/>
    <w:rsid w:val="007474B6"/>
    <w:rsid w:val="00756C33"/>
    <w:rsid w:val="00774ACA"/>
    <w:rsid w:val="00775CC6"/>
    <w:rsid w:val="007814A8"/>
    <w:rsid w:val="00791208"/>
    <w:rsid w:val="0079562E"/>
    <w:rsid w:val="007A3B88"/>
    <w:rsid w:val="007B00AA"/>
    <w:rsid w:val="007B15C3"/>
    <w:rsid w:val="007C1899"/>
    <w:rsid w:val="007D0852"/>
    <w:rsid w:val="007E712D"/>
    <w:rsid w:val="007F7FA2"/>
    <w:rsid w:val="00806D9E"/>
    <w:rsid w:val="00812A3B"/>
    <w:rsid w:val="00816480"/>
    <w:rsid w:val="00817B8D"/>
    <w:rsid w:val="00825404"/>
    <w:rsid w:val="008346D5"/>
    <w:rsid w:val="0083509C"/>
    <w:rsid w:val="00844B70"/>
    <w:rsid w:val="00851257"/>
    <w:rsid w:val="00852CC5"/>
    <w:rsid w:val="00852FD2"/>
    <w:rsid w:val="008537C0"/>
    <w:rsid w:val="0087632D"/>
    <w:rsid w:val="008A2A12"/>
    <w:rsid w:val="008B3CFC"/>
    <w:rsid w:val="008B713A"/>
    <w:rsid w:val="008E1881"/>
    <w:rsid w:val="008E1A31"/>
    <w:rsid w:val="008F3841"/>
    <w:rsid w:val="008F42A0"/>
    <w:rsid w:val="008F5ADA"/>
    <w:rsid w:val="009065C2"/>
    <w:rsid w:val="00931EFD"/>
    <w:rsid w:val="00946093"/>
    <w:rsid w:val="0095124D"/>
    <w:rsid w:val="00963554"/>
    <w:rsid w:val="0097214B"/>
    <w:rsid w:val="0099255A"/>
    <w:rsid w:val="009948BE"/>
    <w:rsid w:val="009C1AED"/>
    <w:rsid w:val="009C3A00"/>
    <w:rsid w:val="009D1AF9"/>
    <w:rsid w:val="009D2094"/>
    <w:rsid w:val="009D5341"/>
    <w:rsid w:val="00A05AE3"/>
    <w:rsid w:val="00A16128"/>
    <w:rsid w:val="00A16ADE"/>
    <w:rsid w:val="00A3097F"/>
    <w:rsid w:val="00A36501"/>
    <w:rsid w:val="00A37E95"/>
    <w:rsid w:val="00A41F79"/>
    <w:rsid w:val="00A619C4"/>
    <w:rsid w:val="00AA2862"/>
    <w:rsid w:val="00AA2E39"/>
    <w:rsid w:val="00AA3ABB"/>
    <w:rsid w:val="00AB0133"/>
    <w:rsid w:val="00AB6FCF"/>
    <w:rsid w:val="00AD0B59"/>
    <w:rsid w:val="00AE1160"/>
    <w:rsid w:val="00AE6D8E"/>
    <w:rsid w:val="00AF1B9B"/>
    <w:rsid w:val="00AF274C"/>
    <w:rsid w:val="00AF280C"/>
    <w:rsid w:val="00B006E6"/>
    <w:rsid w:val="00B02DF4"/>
    <w:rsid w:val="00B03850"/>
    <w:rsid w:val="00B07CA2"/>
    <w:rsid w:val="00B1551C"/>
    <w:rsid w:val="00B16A7C"/>
    <w:rsid w:val="00B22C52"/>
    <w:rsid w:val="00B27050"/>
    <w:rsid w:val="00B34F7E"/>
    <w:rsid w:val="00B369B4"/>
    <w:rsid w:val="00B4515F"/>
    <w:rsid w:val="00B516C1"/>
    <w:rsid w:val="00B54E33"/>
    <w:rsid w:val="00B67196"/>
    <w:rsid w:val="00B726B7"/>
    <w:rsid w:val="00B76D46"/>
    <w:rsid w:val="00B827C0"/>
    <w:rsid w:val="00B86150"/>
    <w:rsid w:val="00B95724"/>
    <w:rsid w:val="00B9747E"/>
    <w:rsid w:val="00BD0617"/>
    <w:rsid w:val="00BD4DBA"/>
    <w:rsid w:val="00BD7B8E"/>
    <w:rsid w:val="00BD7CA4"/>
    <w:rsid w:val="00BD7FA0"/>
    <w:rsid w:val="00BE6D9A"/>
    <w:rsid w:val="00BE74EB"/>
    <w:rsid w:val="00C02C2F"/>
    <w:rsid w:val="00C15355"/>
    <w:rsid w:val="00C2178A"/>
    <w:rsid w:val="00C251BE"/>
    <w:rsid w:val="00C32041"/>
    <w:rsid w:val="00C326E1"/>
    <w:rsid w:val="00C34072"/>
    <w:rsid w:val="00C5008A"/>
    <w:rsid w:val="00C642B5"/>
    <w:rsid w:val="00C711D1"/>
    <w:rsid w:val="00C72F52"/>
    <w:rsid w:val="00C73189"/>
    <w:rsid w:val="00C73A83"/>
    <w:rsid w:val="00C807F1"/>
    <w:rsid w:val="00C81A6B"/>
    <w:rsid w:val="00C83551"/>
    <w:rsid w:val="00C83A9D"/>
    <w:rsid w:val="00C93570"/>
    <w:rsid w:val="00CA47AD"/>
    <w:rsid w:val="00CB2118"/>
    <w:rsid w:val="00CD7692"/>
    <w:rsid w:val="00CE175D"/>
    <w:rsid w:val="00CE2132"/>
    <w:rsid w:val="00CE5050"/>
    <w:rsid w:val="00CF1F36"/>
    <w:rsid w:val="00CF2EC5"/>
    <w:rsid w:val="00CF62B0"/>
    <w:rsid w:val="00D10B67"/>
    <w:rsid w:val="00D1178D"/>
    <w:rsid w:val="00D129BA"/>
    <w:rsid w:val="00D27E8A"/>
    <w:rsid w:val="00D30290"/>
    <w:rsid w:val="00D31FC9"/>
    <w:rsid w:val="00D34EEE"/>
    <w:rsid w:val="00D53516"/>
    <w:rsid w:val="00D713A8"/>
    <w:rsid w:val="00D77A2D"/>
    <w:rsid w:val="00D77B45"/>
    <w:rsid w:val="00D81B3A"/>
    <w:rsid w:val="00D832DE"/>
    <w:rsid w:val="00D856A1"/>
    <w:rsid w:val="00D9336C"/>
    <w:rsid w:val="00D93AAB"/>
    <w:rsid w:val="00D93E83"/>
    <w:rsid w:val="00D979BD"/>
    <w:rsid w:val="00DB0F0B"/>
    <w:rsid w:val="00DB40DE"/>
    <w:rsid w:val="00DB6CEE"/>
    <w:rsid w:val="00DC0116"/>
    <w:rsid w:val="00DC23D1"/>
    <w:rsid w:val="00DD2BE6"/>
    <w:rsid w:val="00DD76B9"/>
    <w:rsid w:val="00DE281E"/>
    <w:rsid w:val="00DE6A2E"/>
    <w:rsid w:val="00DF04DD"/>
    <w:rsid w:val="00DF301E"/>
    <w:rsid w:val="00DF51AF"/>
    <w:rsid w:val="00DF6540"/>
    <w:rsid w:val="00E0602B"/>
    <w:rsid w:val="00E2326E"/>
    <w:rsid w:val="00E23A76"/>
    <w:rsid w:val="00E2436F"/>
    <w:rsid w:val="00E33EAB"/>
    <w:rsid w:val="00E4456D"/>
    <w:rsid w:val="00E5307E"/>
    <w:rsid w:val="00E53585"/>
    <w:rsid w:val="00E570D5"/>
    <w:rsid w:val="00E577A8"/>
    <w:rsid w:val="00E6283A"/>
    <w:rsid w:val="00E722C8"/>
    <w:rsid w:val="00E732BD"/>
    <w:rsid w:val="00E75062"/>
    <w:rsid w:val="00E90F55"/>
    <w:rsid w:val="00E9130A"/>
    <w:rsid w:val="00E93AB5"/>
    <w:rsid w:val="00EA202E"/>
    <w:rsid w:val="00EA379F"/>
    <w:rsid w:val="00EB1C39"/>
    <w:rsid w:val="00ED6860"/>
    <w:rsid w:val="00ED72D7"/>
    <w:rsid w:val="00ED74B9"/>
    <w:rsid w:val="00EE1A8F"/>
    <w:rsid w:val="00EE22B2"/>
    <w:rsid w:val="00EF1BBE"/>
    <w:rsid w:val="00EF1BEC"/>
    <w:rsid w:val="00F070D8"/>
    <w:rsid w:val="00F168DD"/>
    <w:rsid w:val="00F20C16"/>
    <w:rsid w:val="00F22572"/>
    <w:rsid w:val="00F2631B"/>
    <w:rsid w:val="00F47E15"/>
    <w:rsid w:val="00F64637"/>
    <w:rsid w:val="00F66792"/>
    <w:rsid w:val="00FA7C2E"/>
    <w:rsid w:val="00FB24C5"/>
    <w:rsid w:val="00FB6FB7"/>
    <w:rsid w:val="00FD69E4"/>
    <w:rsid w:val="00FE0258"/>
    <w:rsid w:val="00FE2615"/>
    <w:rsid w:val="00FE7C3B"/>
    <w:rsid w:val="00FF06B3"/>
    <w:rsid w:val="00FF3B09"/>
    <w:rsid w:val="07155B24"/>
    <w:rsid w:val="35FB5EC6"/>
    <w:rsid w:val="38AB2DC2"/>
    <w:rsid w:val="5FF6F502"/>
    <w:rsid w:val="76FFB3B8"/>
    <w:rsid w:val="7DEFE915"/>
    <w:rsid w:val="967BF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240"/>
      <w:jc w:val="both"/>
    </w:pPr>
    <w:rPr>
      <w:rFonts w:ascii="Times New Roman" w:hAnsi="Times New Roman" w:eastAsia="宋体" w:cs="Times New Roman"/>
      <w:sz w:val="24"/>
      <w:szCs w:val="24"/>
      <w:lang w:val="en-US" w:eastAsia="zh-CN"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macro"/>
    <w:link w:val="23"/>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before="100" w:beforeAutospacing="1"/>
      <w:jc w:val="both"/>
    </w:pPr>
    <w:rPr>
      <w:rFonts w:ascii="Consolas" w:hAnsi="Consolas" w:eastAsia="宋体" w:cs="Times New Roman"/>
      <w:lang w:val="en-US" w:eastAsia="zh-CN" w:bidi="ar-SA"/>
    </w:rPr>
  </w:style>
  <w:style w:type="paragraph" w:styleId="3">
    <w:name w:val="annotation text"/>
    <w:basedOn w:val="1"/>
    <w:link w:val="21"/>
    <w:qFormat/>
    <w:uiPriority w:val="99"/>
    <w:pPr>
      <w:spacing w:before="0" w:beforeAutospacing="0" w:after="0"/>
      <w:jc w:val="left"/>
    </w:pPr>
    <w:rPr>
      <w:rFonts w:ascii="PMingLiU" w:hAnsi="PMingLiU" w:eastAsia="PMingLiU" w:cs="PMingLiU"/>
      <w:sz w:val="20"/>
      <w:szCs w:val="20"/>
      <w:lang w:eastAsia="zh-TW"/>
    </w:rPr>
  </w:style>
  <w:style w:type="paragraph" w:styleId="4">
    <w:name w:val="Body Text"/>
    <w:basedOn w:val="1"/>
    <w:link w:val="16"/>
    <w:unhideWhenUsed/>
    <w:qFormat/>
    <w:uiPriority w:val="99"/>
    <w:rPr>
      <w:rFonts w:cs="Simplified Arabic"/>
    </w:rPr>
  </w:style>
  <w:style w:type="paragraph" w:styleId="5">
    <w:name w:val="Balloon Text"/>
    <w:basedOn w:val="1"/>
    <w:link w:val="20"/>
    <w:semiHidden/>
    <w:unhideWhenUsed/>
    <w:qFormat/>
    <w:uiPriority w:val="99"/>
    <w:pPr>
      <w:spacing w:before="0" w:after="0"/>
    </w:pPr>
    <w:rPr>
      <w:sz w:val="18"/>
      <w:szCs w:val="18"/>
    </w:rPr>
  </w:style>
  <w:style w:type="paragraph" w:styleId="6">
    <w:name w:val="footer"/>
    <w:basedOn w:val="1"/>
    <w:link w:val="19"/>
    <w:unhideWhenUsed/>
    <w:qFormat/>
    <w:uiPriority w:val="99"/>
    <w:pPr>
      <w:tabs>
        <w:tab w:val="center" w:pos="4153"/>
        <w:tab w:val="right" w:pos="8306"/>
      </w:tabs>
      <w:snapToGrid w:val="0"/>
      <w:jc w:val="left"/>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2"/>
    <w:qFormat/>
    <w:uiPriority w:val="0"/>
    <w:pPr>
      <w:widowControl w:val="0"/>
      <w:snapToGrid w:val="0"/>
      <w:spacing w:before="0" w:beforeAutospacing="0" w:after="0"/>
      <w:jc w:val="left"/>
    </w:pPr>
    <w:rPr>
      <w:kern w:val="2"/>
      <w:sz w:val="18"/>
      <w:szCs w:val="18"/>
    </w:rPr>
  </w:style>
  <w:style w:type="paragraph" w:styleId="9">
    <w:name w:val="Normal (Web)"/>
    <w:basedOn w:val="1"/>
    <w:semiHidden/>
    <w:unhideWhenUsed/>
    <w:qFormat/>
    <w:uiPriority w:val="99"/>
    <w:pPr>
      <w:spacing w:after="100" w:afterAutospacing="1"/>
      <w:jc w:val="left"/>
    </w:pPr>
    <w:rPr>
      <w:rFonts w:ascii="宋体" w:hAnsi="宋体" w:cs="宋体"/>
    </w:rPr>
  </w:style>
  <w:style w:type="paragraph" w:styleId="10">
    <w:name w:val="annotation subject"/>
    <w:basedOn w:val="3"/>
    <w:next w:val="3"/>
    <w:link w:val="24"/>
    <w:semiHidden/>
    <w:unhideWhenUsed/>
    <w:qFormat/>
    <w:uiPriority w:val="99"/>
    <w:pPr>
      <w:spacing w:before="100" w:beforeAutospacing="1" w:after="240"/>
      <w:jc w:val="both"/>
    </w:pPr>
    <w:rPr>
      <w:rFonts w:ascii="Times New Roman" w:hAnsi="Times New Roman" w:eastAsia="宋体" w:cs="Times New Roman"/>
      <w:b/>
      <w:bCs/>
      <w:lang w:eastAsia="zh-CN"/>
    </w:rPr>
  </w:style>
  <w:style w:type="table" w:styleId="12">
    <w:name w:val="Table Grid"/>
    <w:basedOn w:val="11"/>
    <w:qFormat/>
    <w:uiPriority w:val="0"/>
    <w:rPr>
      <w:rFonts w:ascii="Calibri" w:hAnsi="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qFormat/>
    <w:uiPriority w:val="99"/>
    <w:rPr>
      <w:sz w:val="16"/>
    </w:rPr>
  </w:style>
  <w:style w:type="character" w:styleId="15">
    <w:name w:val="footnote reference"/>
    <w:basedOn w:val="13"/>
    <w:semiHidden/>
    <w:unhideWhenUsed/>
    <w:qFormat/>
    <w:uiPriority w:val="99"/>
    <w:rPr>
      <w:vertAlign w:val="superscript"/>
    </w:rPr>
  </w:style>
  <w:style w:type="character" w:customStyle="1" w:styleId="16">
    <w:name w:val="正文文本 字符"/>
    <w:basedOn w:val="13"/>
    <w:link w:val="4"/>
    <w:qFormat/>
    <w:uiPriority w:val="99"/>
    <w:rPr>
      <w:rFonts w:ascii="Times New Roman" w:hAnsi="Times New Roman" w:eastAsia="宋体" w:cs="Simplified Arabic"/>
      <w:kern w:val="0"/>
      <w:sz w:val="24"/>
    </w:rPr>
  </w:style>
  <w:style w:type="paragraph" w:customStyle="1" w:styleId="17">
    <w:name w:val="修订1"/>
    <w:hidden/>
    <w:semiHidden/>
    <w:qFormat/>
    <w:uiPriority w:val="99"/>
    <w:rPr>
      <w:rFonts w:ascii="Times New Roman" w:hAnsi="Times New Roman" w:eastAsia="宋体" w:cs="Times New Roman"/>
      <w:sz w:val="24"/>
      <w:szCs w:val="24"/>
      <w:lang w:val="en-US" w:eastAsia="zh-CN" w:bidi="ar-SA"/>
    </w:rPr>
  </w:style>
  <w:style w:type="character" w:customStyle="1" w:styleId="18">
    <w:name w:val="页眉 字符"/>
    <w:basedOn w:val="13"/>
    <w:link w:val="7"/>
    <w:qFormat/>
    <w:uiPriority w:val="99"/>
    <w:rPr>
      <w:rFonts w:ascii="Times New Roman" w:hAnsi="Times New Roman" w:eastAsia="宋体" w:cs="Times New Roman"/>
      <w:kern w:val="0"/>
      <w:sz w:val="18"/>
      <w:szCs w:val="18"/>
    </w:rPr>
  </w:style>
  <w:style w:type="character" w:customStyle="1" w:styleId="19">
    <w:name w:val="页脚 字符"/>
    <w:basedOn w:val="13"/>
    <w:link w:val="6"/>
    <w:qFormat/>
    <w:uiPriority w:val="99"/>
    <w:rPr>
      <w:rFonts w:ascii="Times New Roman" w:hAnsi="Times New Roman" w:eastAsia="宋体" w:cs="Times New Roman"/>
      <w:kern w:val="0"/>
      <w:sz w:val="18"/>
      <w:szCs w:val="18"/>
    </w:rPr>
  </w:style>
  <w:style w:type="character" w:customStyle="1" w:styleId="20">
    <w:name w:val="批注框文本 字符"/>
    <w:basedOn w:val="13"/>
    <w:link w:val="5"/>
    <w:semiHidden/>
    <w:qFormat/>
    <w:uiPriority w:val="99"/>
    <w:rPr>
      <w:rFonts w:ascii="Times New Roman" w:hAnsi="Times New Roman" w:eastAsia="宋体" w:cs="Times New Roman"/>
      <w:kern w:val="0"/>
      <w:sz w:val="18"/>
      <w:szCs w:val="18"/>
    </w:rPr>
  </w:style>
  <w:style w:type="character" w:customStyle="1" w:styleId="21">
    <w:name w:val="批注文字 字符"/>
    <w:basedOn w:val="13"/>
    <w:link w:val="3"/>
    <w:qFormat/>
    <w:uiPriority w:val="99"/>
    <w:rPr>
      <w:rFonts w:ascii="PMingLiU" w:hAnsi="PMingLiU" w:eastAsia="PMingLiU" w:cs="PMingLiU"/>
      <w:kern w:val="0"/>
      <w:sz w:val="20"/>
      <w:szCs w:val="20"/>
      <w:lang w:eastAsia="zh-TW"/>
    </w:rPr>
  </w:style>
  <w:style w:type="character" w:customStyle="1" w:styleId="22">
    <w:name w:val="脚注文本 字符"/>
    <w:basedOn w:val="13"/>
    <w:link w:val="8"/>
    <w:qFormat/>
    <w:uiPriority w:val="0"/>
    <w:rPr>
      <w:rFonts w:ascii="Times New Roman" w:hAnsi="Times New Roman" w:eastAsia="宋体" w:cs="Times New Roman"/>
      <w:sz w:val="18"/>
      <w:szCs w:val="18"/>
    </w:rPr>
  </w:style>
  <w:style w:type="character" w:customStyle="1" w:styleId="23">
    <w:name w:val="宏文本 字符"/>
    <w:basedOn w:val="13"/>
    <w:link w:val="2"/>
    <w:semiHidden/>
    <w:qFormat/>
    <w:uiPriority w:val="99"/>
    <w:rPr>
      <w:rFonts w:ascii="Consolas" w:hAnsi="Consolas" w:eastAsia="宋体" w:cs="Times New Roman"/>
      <w:kern w:val="0"/>
      <w:sz w:val="20"/>
      <w:szCs w:val="20"/>
    </w:rPr>
  </w:style>
  <w:style w:type="character" w:customStyle="1" w:styleId="24">
    <w:name w:val="批注主题 字符"/>
    <w:basedOn w:val="21"/>
    <w:link w:val="10"/>
    <w:semiHidden/>
    <w:qFormat/>
    <w:uiPriority w:val="99"/>
    <w:rPr>
      <w:rFonts w:ascii="Times New Roman" w:hAnsi="Times New Roman" w:eastAsia="宋体" w:cs="Times New Roman"/>
      <w:b/>
      <w:bCs/>
      <w:kern w:val="0"/>
      <w:sz w:val="20"/>
      <w:szCs w:val="20"/>
      <w:lang w:eastAsia="zh-TW"/>
    </w:rPr>
  </w:style>
  <w:style w:type="paragraph" w:customStyle="1" w:styleId="25">
    <w:name w:val="修订2"/>
    <w:hidden/>
    <w:semiHidden/>
    <w:qFormat/>
    <w:uiPriority w:val="99"/>
    <w:rPr>
      <w:rFonts w:ascii="Times New Roman" w:hAnsi="Times New Roman" w:eastAsia="宋体" w:cs="Times New Roman"/>
      <w:sz w:val="24"/>
      <w:szCs w:val="24"/>
      <w:lang w:val="en-US" w:eastAsia="zh-CN" w:bidi="ar-SA"/>
    </w:rPr>
  </w:style>
  <w:style w:type="paragraph" w:customStyle="1" w:styleId="26">
    <w:name w:val="Revision1"/>
    <w:hidden/>
    <w:semiHidden/>
    <w:qFormat/>
    <w:uiPriority w:val="99"/>
    <w:rPr>
      <w:rFonts w:ascii="Times New Roman" w:hAnsi="Times New Roman" w:eastAsia="宋体" w:cs="Times New Roman"/>
      <w:sz w:val="24"/>
      <w:szCs w:val="24"/>
      <w:lang w:val="en-US" w:eastAsia="zh-CN" w:bidi="ar-SA"/>
    </w:rPr>
  </w:style>
  <w:style w:type="paragraph" w:customStyle="1" w:styleId="27">
    <w:name w:val="Revision2"/>
    <w:hidden/>
    <w:unhideWhenUsed/>
    <w:qFormat/>
    <w:uiPriority w:val="99"/>
    <w:rPr>
      <w:rFonts w:ascii="Times New Roman" w:hAnsi="Times New Roman" w:eastAsia="宋体" w:cs="Times New Roman"/>
      <w:sz w:val="24"/>
      <w:szCs w:val="24"/>
      <w:lang w:val="en-US" w:eastAsia="zh-CN" w:bidi="ar-SA"/>
    </w:rPr>
  </w:style>
  <w:style w:type="paragraph" w:customStyle="1" w:styleId="28">
    <w:name w:val="修订3"/>
    <w:hidden/>
    <w:unhideWhenUsed/>
    <w:qFormat/>
    <w:uiPriority w:val="99"/>
    <w:rPr>
      <w:rFonts w:ascii="Times New Roman" w:hAnsi="Times New Roman" w:eastAsia="宋体" w:cs="Times New Roman"/>
      <w:sz w:val="24"/>
      <w:szCs w:val="24"/>
      <w:lang w:val="en-US" w:eastAsia="zh-CN" w:bidi="ar-SA"/>
    </w:rPr>
  </w:style>
  <w:style w:type="paragraph" w:customStyle="1" w:styleId="29">
    <w:name w:val="Revision"/>
    <w:hidden/>
    <w:unhideWhenUsed/>
    <w:uiPriority w:val="99"/>
    <w:rPr>
      <w:rFonts w:ascii="Times New Roman" w:hAnsi="Times New Roman" w:eastAsia="宋体" w:cs="Times New Roman"/>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8EC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145</Words>
  <Characters>832</Characters>
  <Lines>6</Lines>
  <Paragraphs>1</Paragraphs>
  <TotalTime>42</TotalTime>
  <ScaleCrop>false</ScaleCrop>
  <LinksUpToDate>false</LinksUpToDate>
  <CharactersWithSpaces>976</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2024-07-13T03:45:00Z</dcterms:created>
  <dc:creator>Sunland</dc:creator>
  <cp:lastModifiedBy>王屹</cp:lastModifiedBy>
  <dcterms:modified xsi:type="dcterms:W3CDTF">2024-07-25T02:41:24Z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E9772ADD0D7AA16B3AB5A0664954AE58_43</vt:lpwstr>
  </property>
</Properties>
</file>