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widowControl/>
        <w:spacing w:after="240"/>
        <w:jc w:val="center"/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</w:pPr>
      <w:r>
        <w:rPr>
          <w:rFonts w:hint="default" w:ascii="Times New Roman" w:hAnsi="Times New Roman" w:eastAsia="黑体" w:cs="Times New Roman"/>
          <w:bCs/>
          <w:sz w:val="44"/>
          <w:szCs w:val="44"/>
          <w:lang w:val="en-US" w:eastAsia="zh-CN"/>
        </w:rPr>
        <w:t xml:space="preserve"> </w:t>
      </w:r>
      <w:r>
        <w:rPr>
          <w:rFonts w:hint="default" w:ascii="Times New Roman" w:hAnsi="Times New Roman" w:eastAsia="方正小标宋简体" w:cs="Times New Roman"/>
          <w:bCs/>
          <w:kern w:val="0"/>
          <w:sz w:val="44"/>
          <w:szCs w:val="44"/>
          <w:lang w:val="en-GB" w:bidi="ar-AE"/>
        </w:rPr>
        <w:t>经营者集中简易案件公示表</w:t>
      </w:r>
    </w:p>
    <w:tbl>
      <w:tblPr>
        <w:tblStyle w:val="12"/>
        <w:tblW w:w="96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40"/>
        <w:gridCol w:w="1607"/>
        <w:gridCol w:w="60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26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案件名称</w:t>
            </w:r>
          </w:p>
        </w:tc>
        <w:tc>
          <w:tcPr>
            <w:tcW w:w="7700" w:type="dxa"/>
            <w:gridSpan w:val="2"/>
            <w:shd w:val="clear" w:color="auto" w:fill="auto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珠海投资控股有限公司收购珠海市免税企业集团有限公司股权案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25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交易概况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（限200字内）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adjustRightInd w:val="0"/>
              <w:snapToGrid w:val="0"/>
              <w:rPr>
                <w:rFonts w:hint="default" w:ascii="Times New Roman" w:hAnsi="Times New Roman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珠海投资控股有限公司（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“</w:t>
            </w:r>
            <w:r>
              <w:rPr>
                <w:rFonts w:hint="eastAsia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珠海投资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）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与</w:t>
            </w:r>
            <w:r>
              <w:rPr>
                <w:bCs/>
                <w:color w:val="000000"/>
                <w:sz w:val="22"/>
                <w:szCs w:val="22"/>
              </w:rPr>
              <w:t>珠海市人民政府国有资产监督管理委员会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（“珠海市国资委”）签署协议，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拟通过</w:t>
            </w:r>
            <w:r>
              <w:rPr>
                <w:rFonts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无偿划转方式取得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珠海市免税企业集团有限公司（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“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珠免集团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”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）77%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的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股权。</w:t>
            </w:r>
            <w:r>
              <w:rPr>
                <w:rFonts w:hint="eastAsia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珠免集团主要从事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</w:rPr>
              <w:t>出入境免税品零售业务</w:t>
            </w:r>
            <w:r>
              <w:rPr>
                <w:rFonts w:hint="eastAsia" w:cs="Times New Roman" w:eastAsiaTheme="minorEastAsia"/>
                <w:kern w:val="2"/>
                <w:sz w:val="22"/>
                <w:szCs w:val="22"/>
                <w:lang w:eastAsia="zh-CN"/>
              </w:rPr>
              <w:t>。</w:t>
            </w:r>
            <w:bookmarkStart w:id="0" w:name="_GoBack"/>
            <w:bookmarkEnd w:id="0"/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交易后，</w:t>
            </w:r>
            <w:r>
              <w:rPr>
                <w:rFonts w:hint="eastAsia" w:cs="Times New Roman"/>
                <w:bCs/>
                <w:color w:val="000000"/>
                <w:kern w:val="2"/>
                <w:sz w:val="22"/>
                <w:szCs w:val="22"/>
                <w:lang w:val="en-US" w:eastAsia="zh-CN"/>
              </w:rPr>
              <w:t>珠海投资</w:t>
            </w: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2"/>
                <w:szCs w:val="22"/>
              </w:rPr>
              <w:t>将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持有珠免集团</w:t>
            </w:r>
            <w:r>
              <w:rPr>
                <w:rFonts w:hint="eastAsia" w:eastAsia="宋体" w:cs="Times New Roman"/>
                <w:bCs/>
                <w:color w:val="000000"/>
                <w:kern w:val="2"/>
                <w:sz w:val="22"/>
                <w:szCs w:val="22"/>
                <w:lang w:val="en-US" w:eastAsia="zh-CN"/>
              </w:rPr>
              <w:t>77%的股权，单独控制珠免集团。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参与集中的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经营者简介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（每个限100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字以内）</w:t>
            </w: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1.</w:t>
            </w:r>
            <w:r>
              <w:rPr>
                <w:rFonts w:hint="eastAsia" w:cs="Times New Roman"/>
                <w:bCs/>
                <w:color w:val="000000"/>
                <w:kern w:val="2"/>
                <w:sz w:val="22"/>
                <w:szCs w:val="22"/>
                <w:lang w:eastAsia="zh-CN"/>
              </w:rPr>
              <w:t>珠海投资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 w:eastAsiaTheme="minorEastAsia"/>
                <w:bCs/>
                <w:color w:val="000000"/>
                <w:kern w:val="2"/>
                <w:sz w:val="22"/>
                <w:szCs w:val="22"/>
              </w:rPr>
            </w:pPr>
            <w:r>
              <w:rPr>
                <w:rFonts w:hint="eastAsia" w:cs="Times New Roman" w:eastAsiaTheme="minorEastAsia"/>
                <w:bCs/>
                <w:color w:val="000000"/>
                <w:kern w:val="2"/>
                <w:sz w:val="22"/>
                <w:szCs w:val="22"/>
                <w:lang w:eastAsia="zh-CN"/>
              </w:rPr>
              <w:t>珠海投资</w:t>
            </w:r>
            <w:r>
              <w:rPr>
                <w:rFonts w:hint="default" w:ascii="Times New Roman" w:hAnsi="Times New Roman" w:cs="Times New Roman" w:eastAsiaTheme="minorEastAsia"/>
                <w:bCs/>
                <w:color w:val="000000"/>
                <w:kern w:val="2"/>
                <w:sz w:val="22"/>
                <w:szCs w:val="22"/>
              </w:rPr>
              <w:t>于2014年3月27日</w:t>
            </w:r>
            <w:r>
              <w:rPr>
                <w:rFonts w:hint="eastAsia" w:cs="Times New Roman" w:eastAsiaTheme="minorEastAsia"/>
                <w:bCs/>
                <w:color w:val="000000"/>
                <w:kern w:val="2"/>
                <w:sz w:val="22"/>
                <w:szCs w:val="22"/>
                <w:lang w:eastAsia="zh-CN"/>
              </w:rPr>
              <w:t>成立于广东省</w:t>
            </w:r>
            <w:r>
              <w:rPr>
                <w:rFonts w:hint="default" w:ascii="Times New Roman" w:hAnsi="Times New Roman" w:cs="Times New Roman" w:eastAsiaTheme="minorEastAsia"/>
                <w:bCs/>
                <w:color w:val="000000"/>
                <w:kern w:val="2"/>
                <w:sz w:val="22"/>
                <w:szCs w:val="22"/>
              </w:rPr>
              <w:t>，</w:t>
            </w:r>
            <w:r>
              <w:rPr>
                <w:rFonts w:hint="eastAsia" w:cs="Times New Roman" w:eastAsiaTheme="minorEastAsia"/>
                <w:bCs/>
                <w:color w:val="000000"/>
                <w:kern w:val="2"/>
                <w:sz w:val="22"/>
                <w:szCs w:val="22"/>
                <w:lang w:eastAsia="zh-CN"/>
              </w:rPr>
              <w:t>主要从事</w:t>
            </w:r>
            <w:r>
              <w:rPr>
                <w:rFonts w:hint="default" w:ascii="Times New Roman" w:hAnsi="Times New Roman" w:cs="Times New Roman" w:eastAsiaTheme="minorEastAsia"/>
                <w:bCs/>
                <w:color w:val="000000"/>
                <w:kern w:val="2"/>
                <w:sz w:val="22"/>
                <w:szCs w:val="22"/>
              </w:rPr>
              <w:t>城市运营、房地产综合开发经营、互联网电商和金融服务</w:t>
            </w:r>
            <w:r>
              <w:rPr>
                <w:rFonts w:hint="eastAsia" w:cs="Times New Roman" w:eastAsiaTheme="minorEastAsia"/>
                <w:bCs/>
                <w:color w:val="000000"/>
                <w:kern w:val="2"/>
                <w:sz w:val="22"/>
                <w:szCs w:val="22"/>
                <w:lang w:eastAsia="zh-CN"/>
              </w:rPr>
              <w:t>等业务</w:t>
            </w:r>
            <w:r>
              <w:rPr>
                <w:rFonts w:hint="default" w:ascii="Times New Roman" w:hAnsi="Times New Roman" w:cs="Times New Roman" w:eastAsiaTheme="minorEastAsia"/>
                <w:bCs/>
                <w:color w:val="000000"/>
                <w:kern w:val="2"/>
                <w:sz w:val="22"/>
                <w:szCs w:val="22"/>
              </w:rPr>
              <w:t>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bCs/>
                <w:color w:val="000000"/>
                <w:kern w:val="2"/>
                <w:sz w:val="22"/>
                <w:szCs w:val="22"/>
                <w:lang w:eastAsia="zh-CN"/>
              </w:rPr>
              <w:t>珠海投资为珠海市国资委下属企业。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22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1607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>2.</w:t>
            </w:r>
            <w:r>
              <w:rPr>
                <w:rFonts w:hint="eastAsia" w:cs="Times New Roman"/>
                <w:bCs/>
                <w:color w:val="000000"/>
                <w:sz w:val="22"/>
                <w:szCs w:val="22"/>
                <w:lang w:eastAsia="zh-CN"/>
              </w:rPr>
              <w:t>珠免集团</w:t>
            </w:r>
          </w:p>
        </w:tc>
        <w:tc>
          <w:tcPr>
            <w:tcW w:w="6093" w:type="dxa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</w:rPr>
            </w:pPr>
            <w: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</w:rPr>
              <w:t>珠免集团于1987年9月20日</w:t>
            </w:r>
            <w:r>
              <w:rPr>
                <w:rFonts w:hint="eastAsia" w:cs="Times New Roman" w:eastAsiaTheme="minorEastAsia"/>
                <w:kern w:val="2"/>
                <w:sz w:val="22"/>
                <w:szCs w:val="22"/>
                <w:lang w:eastAsia="zh-CN"/>
              </w:rPr>
              <w:t>成立于广东省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</w:rPr>
              <w:t>，</w:t>
            </w:r>
            <w:r>
              <w:rPr>
                <w:rFonts w:hint="eastAsia" w:cs="Times New Roman" w:eastAsiaTheme="minorEastAsia"/>
                <w:kern w:val="2"/>
                <w:sz w:val="22"/>
                <w:szCs w:val="22"/>
                <w:lang w:eastAsia="zh-CN"/>
              </w:rPr>
              <w:t>主要从事</w:t>
            </w:r>
            <w:r>
              <w:rPr>
                <w:rFonts w:hint="default" w:ascii="Times New Roman" w:hAnsi="Times New Roman" w:cs="Times New Roman" w:eastAsiaTheme="minorEastAsia"/>
                <w:kern w:val="2"/>
                <w:sz w:val="22"/>
                <w:szCs w:val="22"/>
              </w:rPr>
              <w:t>出入境免税品零售业务。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eastAsia="zh-CN"/>
              </w:rPr>
            </w:pPr>
            <w:r>
              <w:rPr>
                <w:rFonts w:hint="eastAsia" w:cs="Times New Roman" w:eastAsiaTheme="minorEastAsia"/>
                <w:kern w:val="2"/>
                <w:sz w:val="22"/>
                <w:szCs w:val="22"/>
                <w:lang w:eastAsia="zh-CN"/>
              </w:rPr>
              <w:t>珠免集团为珠海市国资委下属企业。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restart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简易案件理由（可以单选，</w:t>
            </w:r>
          </w:p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也可以多选）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1、在同一相关市场，所有参与集中的经营者所占市场份额之和小于15%。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2、存在上下游关系的参与集中的经营者，在上下游市场所占的市场份额均小于25%。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FE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 3、不在同一相关市场、也不存在上下游关系的参与集中的经营者，在与交易有关的每个市场所占的份额均小于25%。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4、参与集中的经营者在中国境外设立合营企业，合营企业不在中国境内从事经济活动。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5、参与集中的经营者收购境外企业股权或资产的，该境外企业不在中国境内从事经济活动。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1940" w:type="dxa"/>
            <w:vMerge w:val="continue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sym w:font="Wingdings" w:char="00A8"/>
            </w:r>
            <w:r>
              <w:rPr>
                <w:rFonts w:hint="default" w:ascii="Times New Roman" w:hAnsi="Times New Roman" w:cs="Times New Roman"/>
                <w:bCs/>
                <w:color w:val="000000"/>
                <w:sz w:val="22"/>
                <w:szCs w:val="22"/>
              </w:rPr>
              <w:t xml:space="preserve"> 6、由两个以上的经营者共同控制的合营企业，通过集中被其中一个或一个以上经营者控制。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49" w:hRule="atLeast"/>
          <w:jc w:val="center"/>
        </w:trPr>
        <w:tc>
          <w:tcPr>
            <w:tcW w:w="1940" w:type="dxa"/>
            <w:shd w:val="clear" w:color="auto" w:fill="auto"/>
            <w:vAlign w:val="center"/>
          </w:tcPr>
          <w:p>
            <w:pPr>
              <w:pStyle w:val="3"/>
              <w:adjustRightInd w:val="0"/>
              <w:snapToGrid w:val="0"/>
              <w:spacing w:after="0"/>
              <w:jc w:val="center"/>
              <w:rPr>
                <w:rFonts w:hint="default" w:ascii="Times New Roman" w:hAnsi="Times New Roman" w:cs="Times New Roman"/>
                <w:b/>
                <w:bCs w:val="0"/>
                <w:color w:val="000000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 w:val="0"/>
                <w:color w:val="000000"/>
                <w:sz w:val="24"/>
                <w:szCs w:val="24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>
            <w:pPr>
              <w:pStyle w:val="3"/>
              <w:adjustRightInd w:val="0"/>
              <w:snapToGrid w:val="0"/>
              <w:spacing w:after="0"/>
              <w:rPr>
                <w:rFonts w:hint="eastAsia" w:eastAsia="宋体"/>
                <w:b/>
                <w:bCs w:val="0"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b/>
                <w:bCs w:val="0"/>
                <w:color w:val="000000"/>
                <w:sz w:val="22"/>
                <w:szCs w:val="22"/>
                <w:lang w:eastAsia="zh-CN"/>
              </w:rPr>
              <w:t>混合集中</w:t>
            </w:r>
            <w:r>
              <w:rPr>
                <w:rFonts w:hint="eastAsia" w:eastAsia="宋体"/>
                <w:b/>
                <w:bCs w:val="0"/>
                <w:color w:val="000000"/>
                <w:sz w:val="22"/>
                <w:szCs w:val="22"/>
              </w:rPr>
              <w:t>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eastAsia" w:eastAsia="宋体"/>
                <w:bCs/>
                <w:color w:val="000000"/>
                <w:sz w:val="22"/>
                <w:szCs w:val="22"/>
              </w:rPr>
            </w:pP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202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val="en-US" w:eastAsia="zh-CN"/>
              </w:rPr>
              <w:t>3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年中国境内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出入境免税品零售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市场：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</w:pPr>
            <w:r>
              <w:rPr>
                <w:rFonts w:hint="eastAsia" w:eastAsia="宋体"/>
                <w:bCs/>
                <w:color w:val="000000"/>
                <w:sz w:val="22"/>
                <w:szCs w:val="22"/>
                <w:lang w:eastAsia="zh-CN"/>
              </w:rPr>
              <w:t>珠免集团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：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0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-</w:t>
            </w:r>
            <w:r>
              <w:rPr>
                <w:rFonts w:hint="eastAsia"/>
                <w:bCs/>
                <w:color w:val="000000"/>
                <w:sz w:val="22"/>
                <w:szCs w:val="22"/>
                <w:lang w:val="en-US" w:eastAsia="zh-CN"/>
              </w:rPr>
              <w:t>5</w:t>
            </w:r>
            <w:r>
              <w:rPr>
                <w:rFonts w:hint="eastAsia" w:eastAsia="宋体"/>
                <w:bCs/>
                <w:color w:val="000000"/>
                <w:sz w:val="22"/>
                <w:szCs w:val="22"/>
              </w:rPr>
              <w:t>%</w:t>
            </w:r>
          </w:p>
          <w:p>
            <w:pPr>
              <w:pStyle w:val="3"/>
              <w:adjustRightInd w:val="0"/>
              <w:snapToGrid w:val="0"/>
              <w:spacing w:after="0"/>
              <w:rPr>
                <w:rFonts w:hint="default"/>
              </w:rPr>
            </w:pPr>
          </w:p>
        </w:tc>
      </w:tr>
    </w:tbl>
    <w:p>
      <w:pPr>
        <w:rPr>
          <w:rFonts w:hint="default" w:ascii="Times New Roman" w:hAnsi="Times New Roman" w:cs="Times New Roman" w:eastAsiaTheme="minorEastAsia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方正书宋_GBK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2000609000000000000"/>
    <w:charset w:val="02"/>
    <w:family w:val="roman"/>
    <w:pitch w:val="default"/>
    <w:sig w:usb0="800000AF" w:usb1="4000204A" w:usb2="00000000" w:usb3="00000000" w:csb0="2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Simplified Arabic">
    <w:altName w:val="Arial"/>
    <w:panose1 w:val="02020603050405020304"/>
    <w:charset w:val="B2"/>
    <w:family w:val="roman"/>
    <w:pitch w:val="default"/>
    <w:sig w:usb0="00000000" w:usb1="00000000" w:usb2="00000000" w:usb3="00000000" w:csb0="00000041" w:csb1="2008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true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9"/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eastAsia" w:asciiTheme="minorEastAsia" w:hAnsiTheme="minorEastAsia" w:eastAsiaTheme="minorEastAsia" w:cstheme="minorEastAsia"/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false" anchor="t" anchorCtr="false" forceAA="false" upright="false" compatLnSpc="true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FgAAAGRycy9QSwECFAAUAAAACACH&#10;TuJAs0lY7tAAAAAFAQAADwAAAAAAAAABACAAAAA4AAAAZHJzL2Rvd25yZXYueG1sUEsBAhQAFAAA&#10;AAgAh07iQCYa0m4aAgAAKQQAAA4AAAAAAAAAAQAgAAAANQEAAGRycy9lMm9Eb2MueG1sUEsFBgAA&#10;AAAGAAYAWQEAAME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9"/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</w:pP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t>1</w:t>
                    </w:r>
                    <w:r>
                      <w:rPr>
                        <w:rFonts w:hint="eastAsia" w:asciiTheme="minorEastAsia" w:hAnsiTheme="minorEastAsia" w:eastAsiaTheme="minorEastAsia" w:cstheme="minorEastAsia"/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false"/>
  <w:bordersDoNotSurroundFooter w:val="false"/>
  <w:trackRevisions w:val="true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NmMTI0ODhhNzFmMGU3MTZhMTA0ODYxYzI1N2YwYjIifQ=="/>
  </w:docVars>
  <w:rsids>
    <w:rsidRoot w:val="511505E7"/>
    <w:rsid w:val="00042BDD"/>
    <w:rsid w:val="0007692D"/>
    <w:rsid w:val="00087338"/>
    <w:rsid w:val="00114814"/>
    <w:rsid w:val="001B50F2"/>
    <w:rsid w:val="001C6148"/>
    <w:rsid w:val="001F1C3C"/>
    <w:rsid w:val="0022179C"/>
    <w:rsid w:val="00221FCA"/>
    <w:rsid w:val="00244DF9"/>
    <w:rsid w:val="00284710"/>
    <w:rsid w:val="00332EAC"/>
    <w:rsid w:val="00346B84"/>
    <w:rsid w:val="00367A54"/>
    <w:rsid w:val="004C4C54"/>
    <w:rsid w:val="00500F51"/>
    <w:rsid w:val="00504BEC"/>
    <w:rsid w:val="00507863"/>
    <w:rsid w:val="005C4EFC"/>
    <w:rsid w:val="0062408E"/>
    <w:rsid w:val="00627CE6"/>
    <w:rsid w:val="00646E32"/>
    <w:rsid w:val="006A20C6"/>
    <w:rsid w:val="006C3B44"/>
    <w:rsid w:val="00707821"/>
    <w:rsid w:val="0072474D"/>
    <w:rsid w:val="00734F51"/>
    <w:rsid w:val="007D63FA"/>
    <w:rsid w:val="007F706B"/>
    <w:rsid w:val="00816711"/>
    <w:rsid w:val="00826195"/>
    <w:rsid w:val="008472A3"/>
    <w:rsid w:val="00876497"/>
    <w:rsid w:val="009040AD"/>
    <w:rsid w:val="00934D60"/>
    <w:rsid w:val="00A73286"/>
    <w:rsid w:val="00B45330"/>
    <w:rsid w:val="00B93533"/>
    <w:rsid w:val="00BC4863"/>
    <w:rsid w:val="00BD3FB4"/>
    <w:rsid w:val="00BE051D"/>
    <w:rsid w:val="00C046B3"/>
    <w:rsid w:val="00D11F6E"/>
    <w:rsid w:val="00D14CED"/>
    <w:rsid w:val="00E40607"/>
    <w:rsid w:val="00E4263C"/>
    <w:rsid w:val="00E466FD"/>
    <w:rsid w:val="00F63099"/>
    <w:rsid w:val="00F7053E"/>
    <w:rsid w:val="00F90810"/>
    <w:rsid w:val="00FD5EA5"/>
    <w:rsid w:val="00FF42DD"/>
    <w:rsid w:val="011DF4EB"/>
    <w:rsid w:val="01B165CE"/>
    <w:rsid w:val="0217304F"/>
    <w:rsid w:val="02515359"/>
    <w:rsid w:val="030806B1"/>
    <w:rsid w:val="03490091"/>
    <w:rsid w:val="03D70EC9"/>
    <w:rsid w:val="04B425C4"/>
    <w:rsid w:val="04B85AFF"/>
    <w:rsid w:val="05AB50DB"/>
    <w:rsid w:val="06075F29"/>
    <w:rsid w:val="072729B8"/>
    <w:rsid w:val="07D6476B"/>
    <w:rsid w:val="087232C3"/>
    <w:rsid w:val="08D6542E"/>
    <w:rsid w:val="08ED34FD"/>
    <w:rsid w:val="093446A7"/>
    <w:rsid w:val="0AF22185"/>
    <w:rsid w:val="0B1835C3"/>
    <w:rsid w:val="0B63273E"/>
    <w:rsid w:val="0BD91CE7"/>
    <w:rsid w:val="0C6B60D7"/>
    <w:rsid w:val="0DE526A7"/>
    <w:rsid w:val="0E5C7E9D"/>
    <w:rsid w:val="0EEC791B"/>
    <w:rsid w:val="0F272A69"/>
    <w:rsid w:val="0FA436B7"/>
    <w:rsid w:val="0FBBC6D8"/>
    <w:rsid w:val="10C02711"/>
    <w:rsid w:val="12ED74AA"/>
    <w:rsid w:val="130B6D76"/>
    <w:rsid w:val="13236AF1"/>
    <w:rsid w:val="13D6674E"/>
    <w:rsid w:val="150C1E94"/>
    <w:rsid w:val="15D94F21"/>
    <w:rsid w:val="15E47716"/>
    <w:rsid w:val="1680064E"/>
    <w:rsid w:val="17436509"/>
    <w:rsid w:val="1AA11230"/>
    <w:rsid w:val="1B2D6269"/>
    <w:rsid w:val="1BF9394B"/>
    <w:rsid w:val="1BF9AB71"/>
    <w:rsid w:val="1C361957"/>
    <w:rsid w:val="1DA24124"/>
    <w:rsid w:val="1DFE30C6"/>
    <w:rsid w:val="1FC81833"/>
    <w:rsid w:val="20C2797E"/>
    <w:rsid w:val="215B059A"/>
    <w:rsid w:val="24606B41"/>
    <w:rsid w:val="246736EB"/>
    <w:rsid w:val="24840815"/>
    <w:rsid w:val="25C17900"/>
    <w:rsid w:val="261144B9"/>
    <w:rsid w:val="27B435B3"/>
    <w:rsid w:val="27ED6C10"/>
    <w:rsid w:val="281C288D"/>
    <w:rsid w:val="289A6D28"/>
    <w:rsid w:val="2B795B9C"/>
    <w:rsid w:val="2C0C7CCC"/>
    <w:rsid w:val="2CAC25FF"/>
    <w:rsid w:val="2DFF8C0F"/>
    <w:rsid w:val="2ECF569F"/>
    <w:rsid w:val="2F0902B7"/>
    <w:rsid w:val="3025112D"/>
    <w:rsid w:val="319E78FD"/>
    <w:rsid w:val="339B1A7D"/>
    <w:rsid w:val="34527864"/>
    <w:rsid w:val="356065C1"/>
    <w:rsid w:val="35741F7B"/>
    <w:rsid w:val="35927D49"/>
    <w:rsid w:val="36647739"/>
    <w:rsid w:val="36722108"/>
    <w:rsid w:val="37736187"/>
    <w:rsid w:val="37EC4B4C"/>
    <w:rsid w:val="3A7D25F4"/>
    <w:rsid w:val="3B6C128B"/>
    <w:rsid w:val="3BF42FA2"/>
    <w:rsid w:val="3C1B3849"/>
    <w:rsid w:val="3DBE0E38"/>
    <w:rsid w:val="3DCF2C73"/>
    <w:rsid w:val="3E3B322A"/>
    <w:rsid w:val="3EB7365E"/>
    <w:rsid w:val="3EBE2D3F"/>
    <w:rsid w:val="3ED7D01C"/>
    <w:rsid w:val="3EE73D98"/>
    <w:rsid w:val="3FFFF7A9"/>
    <w:rsid w:val="40D7777E"/>
    <w:rsid w:val="41D779C0"/>
    <w:rsid w:val="436E421B"/>
    <w:rsid w:val="43E353FE"/>
    <w:rsid w:val="45E92E66"/>
    <w:rsid w:val="46845245"/>
    <w:rsid w:val="46F216C3"/>
    <w:rsid w:val="48567BBA"/>
    <w:rsid w:val="48604985"/>
    <w:rsid w:val="48C332AF"/>
    <w:rsid w:val="49857111"/>
    <w:rsid w:val="498A72A0"/>
    <w:rsid w:val="4C824703"/>
    <w:rsid w:val="4CC01CF8"/>
    <w:rsid w:val="4CFD75DE"/>
    <w:rsid w:val="4D533669"/>
    <w:rsid w:val="4D611881"/>
    <w:rsid w:val="4DB67BAD"/>
    <w:rsid w:val="4DBF710D"/>
    <w:rsid w:val="4E585190"/>
    <w:rsid w:val="4E626EA5"/>
    <w:rsid w:val="4F7D0643"/>
    <w:rsid w:val="50CB3BDA"/>
    <w:rsid w:val="511505E7"/>
    <w:rsid w:val="5275657D"/>
    <w:rsid w:val="53701092"/>
    <w:rsid w:val="53DE53F7"/>
    <w:rsid w:val="549363D0"/>
    <w:rsid w:val="54D26C3D"/>
    <w:rsid w:val="54DD7AC9"/>
    <w:rsid w:val="55413F6A"/>
    <w:rsid w:val="558A3AEC"/>
    <w:rsid w:val="55FF4F39"/>
    <w:rsid w:val="563C0C84"/>
    <w:rsid w:val="567C47AD"/>
    <w:rsid w:val="568C7EFA"/>
    <w:rsid w:val="5721053D"/>
    <w:rsid w:val="5A320350"/>
    <w:rsid w:val="5A4E1134"/>
    <w:rsid w:val="5A8F5421"/>
    <w:rsid w:val="5AB377AC"/>
    <w:rsid w:val="5ADB7A9F"/>
    <w:rsid w:val="5BDF7AA8"/>
    <w:rsid w:val="5CC770F3"/>
    <w:rsid w:val="5DFF5221"/>
    <w:rsid w:val="5E606197"/>
    <w:rsid w:val="5E758AD3"/>
    <w:rsid w:val="5EFFEB53"/>
    <w:rsid w:val="5F5B3889"/>
    <w:rsid w:val="5F7404E1"/>
    <w:rsid w:val="60B85CFA"/>
    <w:rsid w:val="61AC7C2D"/>
    <w:rsid w:val="61F32521"/>
    <w:rsid w:val="63F6661D"/>
    <w:rsid w:val="64F94FB6"/>
    <w:rsid w:val="64FF0119"/>
    <w:rsid w:val="650C61D5"/>
    <w:rsid w:val="65183212"/>
    <w:rsid w:val="65AC0421"/>
    <w:rsid w:val="67090219"/>
    <w:rsid w:val="6754015D"/>
    <w:rsid w:val="67885F66"/>
    <w:rsid w:val="67D469E8"/>
    <w:rsid w:val="685D233B"/>
    <w:rsid w:val="69C0748D"/>
    <w:rsid w:val="6A7D30C3"/>
    <w:rsid w:val="6B9261CD"/>
    <w:rsid w:val="6B9A71CB"/>
    <w:rsid w:val="6BCB1BF4"/>
    <w:rsid w:val="6BCC0CB3"/>
    <w:rsid w:val="6C45316D"/>
    <w:rsid w:val="6CBF87B4"/>
    <w:rsid w:val="6DEFBAE0"/>
    <w:rsid w:val="6E372E5F"/>
    <w:rsid w:val="6E3FE820"/>
    <w:rsid w:val="6E786ABC"/>
    <w:rsid w:val="6F538C10"/>
    <w:rsid w:val="6FDF5799"/>
    <w:rsid w:val="70DD62A4"/>
    <w:rsid w:val="710A7485"/>
    <w:rsid w:val="71394751"/>
    <w:rsid w:val="72131803"/>
    <w:rsid w:val="723024E6"/>
    <w:rsid w:val="73026B48"/>
    <w:rsid w:val="74566BED"/>
    <w:rsid w:val="74CE550B"/>
    <w:rsid w:val="74FA9F2D"/>
    <w:rsid w:val="755F49C7"/>
    <w:rsid w:val="767FE0B3"/>
    <w:rsid w:val="76AFBFF1"/>
    <w:rsid w:val="76CA40F3"/>
    <w:rsid w:val="77527FDF"/>
    <w:rsid w:val="77AFF4F6"/>
    <w:rsid w:val="77FF6A8C"/>
    <w:rsid w:val="77FFCFC3"/>
    <w:rsid w:val="78410251"/>
    <w:rsid w:val="793FB7A1"/>
    <w:rsid w:val="7A66B182"/>
    <w:rsid w:val="7A9C06E1"/>
    <w:rsid w:val="7AB91678"/>
    <w:rsid w:val="7B8F578C"/>
    <w:rsid w:val="7B9A66EF"/>
    <w:rsid w:val="7BE411F0"/>
    <w:rsid w:val="7BFFD823"/>
    <w:rsid w:val="7C7918BC"/>
    <w:rsid w:val="7EE72273"/>
    <w:rsid w:val="7EF7CDD2"/>
    <w:rsid w:val="7F4F7889"/>
    <w:rsid w:val="7F7BEB9D"/>
    <w:rsid w:val="7FBF2495"/>
    <w:rsid w:val="7FDCAB43"/>
    <w:rsid w:val="7FE15510"/>
    <w:rsid w:val="7FE91E78"/>
    <w:rsid w:val="7FFDE69B"/>
    <w:rsid w:val="9CBD0B1A"/>
    <w:rsid w:val="A7F9C1DE"/>
    <w:rsid w:val="A9AD231D"/>
    <w:rsid w:val="ADFAC79E"/>
    <w:rsid w:val="AE7E1E17"/>
    <w:rsid w:val="AFA6DE92"/>
    <w:rsid w:val="B593FB7D"/>
    <w:rsid w:val="B77D8EA8"/>
    <w:rsid w:val="B9B92832"/>
    <w:rsid w:val="BBBF898B"/>
    <w:rsid w:val="BCB7048F"/>
    <w:rsid w:val="BCF89F06"/>
    <w:rsid w:val="BEAF73DD"/>
    <w:rsid w:val="BF8E36EE"/>
    <w:rsid w:val="BFDFB85E"/>
    <w:rsid w:val="BFF739EC"/>
    <w:rsid w:val="C3F5BA26"/>
    <w:rsid w:val="D5DB8D8A"/>
    <w:rsid w:val="D76F54F7"/>
    <w:rsid w:val="DDEFBA43"/>
    <w:rsid w:val="DEAFB90F"/>
    <w:rsid w:val="DF21B821"/>
    <w:rsid w:val="DFD76A11"/>
    <w:rsid w:val="E7FFE685"/>
    <w:rsid w:val="E9F71F09"/>
    <w:rsid w:val="EAFD8D58"/>
    <w:rsid w:val="EB6C770B"/>
    <w:rsid w:val="EBCD181E"/>
    <w:rsid w:val="EFFFDD70"/>
    <w:rsid w:val="F1B778F1"/>
    <w:rsid w:val="F3FF743F"/>
    <w:rsid w:val="F4FF55F7"/>
    <w:rsid w:val="F7EFF966"/>
    <w:rsid w:val="F7FD911C"/>
    <w:rsid w:val="F9DF2CA6"/>
    <w:rsid w:val="FB3326CC"/>
    <w:rsid w:val="FBCE4D19"/>
    <w:rsid w:val="FBFE1D07"/>
    <w:rsid w:val="FDBF10AA"/>
    <w:rsid w:val="FE5FA0A2"/>
    <w:rsid w:val="FEAEC70B"/>
    <w:rsid w:val="FF57FBD6"/>
    <w:rsid w:val="FFB70466"/>
    <w:rsid w:val="FFBC3961"/>
    <w:rsid w:val="FFCF003E"/>
    <w:rsid w:val="FFEE6CF6"/>
    <w:rsid w:val="FFFF3A53"/>
    <w:rsid w:val="FFFF9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iPriority="99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qFormat="1"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4">
    <w:name w:val="heading 1"/>
    <w:basedOn w:val="5"/>
    <w:next w:val="1"/>
    <w:qFormat/>
    <w:uiPriority w:val="9"/>
    <w:pPr>
      <w:spacing w:after="156" w:afterLines="50" w:line="640" w:lineRule="exact"/>
      <w:outlineLvl w:val="0"/>
    </w:pPr>
    <w:rPr>
      <w:rFonts w:ascii="方正小标宋简体" w:eastAsia="方正小标宋简体"/>
      <w:sz w:val="44"/>
      <w:szCs w:val="36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"/>
    <w:basedOn w:val="3"/>
    <w:qFormat/>
    <w:uiPriority w:val="0"/>
    <w:pPr>
      <w:ind w:firstLine="420" w:firstLineChars="100"/>
    </w:pPr>
  </w:style>
  <w:style w:type="paragraph" w:styleId="3">
    <w:name w:val="Body Text"/>
    <w:basedOn w:val="1"/>
    <w:next w:val="2"/>
    <w:link w:val="18"/>
    <w:unhideWhenUsed/>
    <w:qFormat/>
    <w:uiPriority w:val="99"/>
    <w:pPr>
      <w:spacing w:after="120"/>
    </w:pPr>
  </w:style>
  <w:style w:type="paragraph" w:customStyle="1" w:styleId="5">
    <w:name w:val="名称2"/>
    <w:basedOn w:val="6"/>
    <w:qFormat/>
    <w:uiPriority w:val="0"/>
    <w:pPr>
      <w:spacing w:after="312" w:afterLines="100"/>
    </w:pPr>
    <w:rPr>
      <w:b w:val="0"/>
      <w:sz w:val="20"/>
    </w:rPr>
  </w:style>
  <w:style w:type="paragraph" w:customStyle="1" w:styleId="6">
    <w:name w:val="名称"/>
    <w:basedOn w:val="1"/>
    <w:qFormat/>
    <w:uiPriority w:val="0"/>
    <w:pPr>
      <w:jc w:val="center"/>
    </w:pPr>
    <w:rPr>
      <w:b/>
      <w:kern w:val="0"/>
      <w:sz w:val="44"/>
      <w:szCs w:val="20"/>
    </w:rPr>
  </w:style>
  <w:style w:type="paragraph" w:styleId="7">
    <w:name w:val="Normal Indent"/>
    <w:basedOn w:val="1"/>
    <w:next w:val="1"/>
    <w:qFormat/>
    <w:uiPriority w:val="99"/>
  </w:style>
  <w:style w:type="paragraph" w:styleId="8">
    <w:name w:val="annotation text"/>
    <w:basedOn w:val="1"/>
    <w:qFormat/>
    <w:uiPriority w:val="0"/>
    <w:pPr>
      <w:jc w:val="left"/>
    </w:pPr>
  </w:style>
  <w:style w:type="paragraph" w:styleId="9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0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toc 2"/>
    <w:basedOn w:val="1"/>
    <w:next w:val="1"/>
    <w:qFormat/>
    <w:uiPriority w:val="0"/>
    <w:pPr>
      <w:ind w:left="420" w:leftChars="200"/>
    </w:pPr>
    <w:rPr>
      <w:rFonts w:ascii="Times New Roman" w:hAnsi="Times New Roman" w:eastAsia="宋体"/>
      <w:sz w:val="30"/>
    </w:rPr>
  </w:style>
  <w:style w:type="table" w:styleId="13">
    <w:name w:val="Table Grid"/>
    <w:basedOn w:val="12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character" w:styleId="15">
    <w:name w:val="page number"/>
    <w:qFormat/>
    <w:uiPriority w:val="0"/>
    <w:rPr>
      <w:rFonts w:ascii="Times New Roman" w:hAnsi="Times New Roman" w:eastAsia="宋体" w:cs="Simplified Arabic"/>
      <w:sz w:val="24"/>
      <w:szCs w:val="24"/>
      <w:lang w:val="en-GB" w:bidi="ar-AE"/>
    </w:rPr>
  </w:style>
  <w:style w:type="character" w:customStyle="1" w:styleId="16">
    <w:name w:val="页眉 字符"/>
    <w:basedOn w:val="14"/>
    <w:link w:val="10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7">
    <w:name w:val="页脚 字符"/>
    <w:basedOn w:val="14"/>
    <w:link w:val="9"/>
    <w:qFormat/>
    <w:uiPriority w:val="0"/>
    <w:rPr>
      <w:rFonts w:ascii="Times New Roman" w:hAnsi="Times New Roman" w:eastAsia="宋体" w:cs="Times New Roman"/>
      <w:kern w:val="2"/>
      <w:sz w:val="18"/>
      <w:szCs w:val="18"/>
    </w:rPr>
  </w:style>
  <w:style w:type="character" w:customStyle="1" w:styleId="18">
    <w:name w:val="正文文本 字符"/>
    <w:basedOn w:val="14"/>
    <w:link w:val="3"/>
    <w:qFormat/>
    <w:uiPriority w:val="99"/>
    <w:rPr>
      <w:rFonts w:ascii="Times New Roman" w:hAnsi="Times New Roman" w:eastAsia="宋体" w:cs="Times New Roman"/>
      <w:kern w:val="2"/>
      <w:sz w:val="21"/>
      <w:szCs w:val="24"/>
    </w:rPr>
  </w:style>
  <w:style w:type="paragraph" w:styleId="19">
    <w:name w:val="List Paragraph"/>
    <w:basedOn w:val="1"/>
    <w:qFormat/>
    <w:uiPriority w:val="99"/>
    <w:pPr>
      <w:ind w:firstLine="420" w:firstLineChars="200"/>
    </w:pPr>
  </w:style>
  <w:style w:type="paragraph" w:customStyle="1" w:styleId="20">
    <w:name w:val="Footer Right"/>
    <w:basedOn w:val="9"/>
    <w:qFormat/>
    <w:uiPriority w:val="0"/>
    <w:pPr>
      <w:jc w:val="right"/>
    </w:pPr>
  </w:style>
  <w:style w:type="paragraph" w:customStyle="1" w:styleId="21">
    <w:name w:val="KWMCN-标准"/>
    <w:qFormat/>
    <w:uiPriority w:val="0"/>
    <w:pPr>
      <w:adjustRightInd w:val="0"/>
      <w:snapToGrid w:val="0"/>
      <w:spacing w:after="360" w:line="320" w:lineRule="atLeast"/>
      <w:jc w:val="both"/>
    </w:pPr>
    <w:rPr>
      <w:rFonts w:ascii="Arial" w:hAnsi="Arial" w:eastAsia="楷体_GB2312" w:cstheme="minorBidi"/>
      <w:kern w:val="2"/>
      <w:sz w:val="24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其他省直机关单位</Company>
  <Pages>1</Pages>
  <Words>1707</Words>
  <Characters>1813</Characters>
  <Lines>1</Lines>
  <Paragraphs>1</Paragraphs>
  <TotalTime>0</TotalTime>
  <ScaleCrop>false</ScaleCrop>
  <LinksUpToDate>false</LinksUpToDate>
  <CharactersWithSpaces>1998</CharactersWithSpaces>
  <Application>WPS Office_11.8.2.10125_F1E327BC-269C-435d-A152-05C5408002CA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2023-02-27T17:34:00Z</dcterms:created>
  <dc:creator>张斌（反垄断处）</dc:creator>
  <cp:lastModifiedBy>scj</cp:lastModifiedBy>
  <cp:lastPrinted>2024-08-02T01:27:00Z</cp:lastPrinted>
  <dcterms:modified xsi:type="dcterms:W3CDTF">2024-08-07T11:28:12Z</dcterms:modified>
  <dc:title>关于经营者集中反垄断审查案件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2052-11.8.2.10125</vt:lpwstr>
  </property>
  <property fmtid="{D5CDD505-2E9C-101B-9397-08002B2CF9AE}" pid="3" name="ICV">
    <vt:lpwstr>2F510BCF826C43248232D30198221AB7</vt:lpwstr>
  </property>
</Properties>
</file>