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65383" w14:textId="77777777" w:rsidR="00B6355F" w:rsidRDefault="00000000">
      <w:pPr>
        <w:jc w:val="center"/>
        <w:rPr>
          <w:rFonts w:ascii="黑体" w:eastAsia="黑体" w:hAnsi="黑体" w:cs="Arial" w:hint="eastAsia"/>
          <w:bCs/>
          <w:sz w:val="36"/>
          <w:szCs w:val="36"/>
        </w:rPr>
      </w:pPr>
      <w:r>
        <w:rPr>
          <w:rFonts w:ascii="黑体" w:eastAsia="黑体" w:hAnsi="黑体" w:cs="Arial"/>
          <w:bCs/>
          <w:sz w:val="36"/>
          <w:szCs w:val="36"/>
        </w:rPr>
        <w:t>经营者集中简易案件公示表</w:t>
      </w:r>
    </w:p>
    <w:p w14:paraId="159F7373" w14:textId="77777777" w:rsidR="00B6355F" w:rsidRDefault="00B6355F">
      <w:pPr>
        <w:jc w:val="center"/>
        <w:rPr>
          <w:rFonts w:ascii="Arial" w:eastAsia="仿宋_GB2312" w:hAnsi="Arial" w:cs="Arial"/>
          <w:bCs/>
          <w:szCs w:val="21"/>
        </w:rPr>
      </w:pPr>
    </w:p>
    <w:tbl>
      <w:tblPr>
        <w:tblStyle w:val="af"/>
        <w:tblW w:w="5639" w:type="pct"/>
        <w:tblInd w:w="-431" w:type="dxa"/>
        <w:tblLook w:val="04A0" w:firstRow="1" w:lastRow="0" w:firstColumn="1" w:lastColumn="0" w:noHBand="0" w:noVBand="1"/>
      </w:tblPr>
      <w:tblGrid>
        <w:gridCol w:w="1703"/>
        <w:gridCol w:w="1701"/>
        <w:gridCol w:w="5952"/>
      </w:tblGrid>
      <w:tr w:rsidR="00B6355F" w14:paraId="1CDCE532" w14:textId="77777777">
        <w:trPr>
          <w:trHeight w:val="39"/>
        </w:trPr>
        <w:tc>
          <w:tcPr>
            <w:tcW w:w="910" w:type="pct"/>
            <w:shd w:val="clear" w:color="auto" w:fill="D9D9D9" w:themeFill="background1" w:themeFillShade="D9"/>
          </w:tcPr>
          <w:p w14:paraId="11EAA954" w14:textId="77777777" w:rsidR="00B6355F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4090" w:type="pct"/>
            <w:gridSpan w:val="2"/>
          </w:tcPr>
          <w:p w14:paraId="28BFEB23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国泰君安证券股份有限公司与海通证券股份有限公司合并案</w:t>
            </w:r>
          </w:p>
          <w:p w14:paraId="726EB9DA" w14:textId="77777777" w:rsidR="00B6355F" w:rsidRDefault="00B6355F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</w:tr>
      <w:tr w:rsidR="00B6355F" w14:paraId="0A32B3CB" w14:textId="77777777">
        <w:trPr>
          <w:trHeight w:val="1709"/>
        </w:trPr>
        <w:tc>
          <w:tcPr>
            <w:tcW w:w="910" w:type="pct"/>
            <w:shd w:val="clear" w:color="auto" w:fill="D9D9D9" w:themeFill="background1" w:themeFillShade="D9"/>
          </w:tcPr>
          <w:p w14:paraId="61517286" w14:textId="77777777" w:rsidR="00B6355F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交易概况（限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200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4090" w:type="pct"/>
            <w:gridSpan w:val="2"/>
          </w:tcPr>
          <w:p w14:paraId="248A533A" w14:textId="361AE8AA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国泰君安证券股份有限公司（</w:t>
            </w:r>
            <w:r>
              <w:rPr>
                <w:rFonts w:ascii="仿宋_GB2312" w:eastAsia="仿宋_GB2312" w:hAnsi="Arial" w:cs="Arial" w:hint="eastAsia"/>
                <w:kern w:val="0"/>
                <w:sz w:val="24"/>
                <w:szCs w:val="24"/>
              </w:rPr>
              <w:t>“</w:t>
            </w:r>
            <w:r>
              <w:rPr>
                <w:rFonts w:ascii="仿宋_GB2312" w:eastAsia="仿宋_GB2312" w:hAnsi="Arial" w:cs="Arial" w:hint="eastAsia"/>
                <w:b/>
                <w:bCs/>
                <w:kern w:val="0"/>
                <w:sz w:val="24"/>
                <w:szCs w:val="24"/>
              </w:rPr>
              <w:t>国泰君安</w:t>
            </w:r>
            <w:r>
              <w:rPr>
                <w:rFonts w:ascii="仿宋_GB2312" w:eastAsia="仿宋_GB2312" w:hAnsi="Arial" w:cs="Arial" w:hint="eastAsia"/>
                <w:kern w:val="0"/>
                <w:sz w:val="24"/>
                <w:szCs w:val="24"/>
              </w:rPr>
              <w:t>”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）拟</w:t>
            </w: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换股吸收合并海通证券股份有限公司（“</w:t>
            </w:r>
            <w:r>
              <w:rPr>
                <w:rFonts w:ascii="Arial" w:eastAsia="仿宋_GB2312" w:hAnsi="Arial" w:cs="Arial" w:hint="eastAsia"/>
                <w:b/>
                <w:bCs/>
                <w:kern w:val="0"/>
                <w:sz w:val="24"/>
                <w:szCs w:val="24"/>
              </w:rPr>
              <w:t>海通证券</w:t>
            </w: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”）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。</w:t>
            </w: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国泰君安与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海通证券</w:t>
            </w: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均为证券公司，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从事</w:t>
            </w:r>
            <w:r>
              <w:rPr>
                <w:rFonts w:ascii="Arial" w:eastAsia="仿宋_GB2312" w:hAnsi="Arial" w:cs="Arial" w:hint="eastAsia"/>
                <w:bCs/>
                <w:kern w:val="0"/>
                <w:sz w:val="24"/>
                <w:szCs w:val="24"/>
              </w:rPr>
              <w:t>财富管理业务、投资银行业务、机构与交易业务和资产管理业务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等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业务。</w:t>
            </w: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本次换股吸收合并前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，海通证券无最终控制人。本次</w:t>
            </w: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换股吸收合并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后，海通证券将终止上市并注销法人资格，国泰君安将</w:t>
            </w:r>
            <w:r w:rsidR="00C64EA8"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办理</w:t>
            </w:r>
            <w:r w:rsidR="00775D4A" w:rsidRPr="009854B0">
              <w:rPr>
                <w:rFonts w:ascii="仿宋" w:eastAsia="仿宋" w:hAnsi="仿宋" w:hint="eastAsia"/>
                <w:sz w:val="24"/>
                <w:szCs w:val="24"/>
              </w:rPr>
              <w:t>公司名称</w:t>
            </w:r>
            <w:r w:rsidR="00C64EA8">
              <w:rPr>
                <w:rFonts w:ascii="仿宋" w:eastAsia="仿宋" w:hAnsi="仿宋" w:hint="eastAsia"/>
                <w:sz w:val="24"/>
                <w:szCs w:val="24"/>
              </w:rPr>
              <w:t>、注册资本等相关的工商变更登记手续</w:t>
            </w:r>
            <w:r w:rsidR="00775D4A" w:rsidRPr="009854B0">
              <w:rPr>
                <w:rFonts w:ascii="仿宋" w:eastAsia="仿宋" w:hAnsi="仿宋" w:hint="eastAsia"/>
                <w:sz w:val="24"/>
                <w:szCs w:val="24"/>
              </w:rPr>
              <w:t>并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承继及承接海通证券的</w:t>
            </w: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全部资产、负债、业务、人员、合同、资质及其他一切权利与义务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。</w:t>
            </w:r>
          </w:p>
          <w:p w14:paraId="7339C475" w14:textId="77777777" w:rsidR="00B6355F" w:rsidRDefault="00B6355F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</w:tr>
      <w:tr w:rsidR="00B6355F" w14:paraId="21667AB5" w14:textId="77777777">
        <w:trPr>
          <w:trHeight w:val="468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14:paraId="56282CD1" w14:textId="77777777" w:rsidR="00B6355F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参与集中的经营者简介（每个限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100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909" w:type="pct"/>
          </w:tcPr>
          <w:p w14:paraId="5E4C1EFF" w14:textId="77777777" w:rsidR="00B6355F" w:rsidRDefault="00000000">
            <w:pPr>
              <w:numPr>
                <w:ilvl w:val="0"/>
                <w:numId w:val="1"/>
              </w:num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国泰君安</w:t>
            </w:r>
          </w:p>
        </w:tc>
        <w:tc>
          <w:tcPr>
            <w:tcW w:w="3181" w:type="pct"/>
          </w:tcPr>
          <w:p w14:paraId="664C4FE0" w14:textId="77777777" w:rsidR="00B6355F" w:rsidRDefault="00000000">
            <w:pPr>
              <w:jc w:val="left"/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国泰君安于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1999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年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8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月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18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日成立于上海市，为上海证券交易所和香港联合交易所上市公司，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主要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  <w:lang w:val="en-GB"/>
              </w:rPr>
              <w:t>从事</w:t>
            </w:r>
            <w:r>
              <w:rPr>
                <w:rFonts w:ascii="Arial" w:eastAsia="仿宋_GB2312" w:hAnsi="Arial" w:cs="Arial" w:hint="eastAsia"/>
                <w:bCs/>
                <w:kern w:val="0"/>
                <w:sz w:val="24"/>
                <w:szCs w:val="24"/>
              </w:rPr>
              <w:t>财富管理业务、投资银行业务、机构与交易业务和资产管理业务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等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业务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。</w:t>
            </w:r>
          </w:p>
          <w:p w14:paraId="398902B8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国泰君安的最终控制人为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  <w:lang w:val="en-GB"/>
              </w:rPr>
              <w:t>上海国际集团有限公司，主要开展以金融为主、非金融为辅的投资、资本运作和资产管理等业务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。</w:t>
            </w:r>
          </w:p>
          <w:p w14:paraId="3209148F" w14:textId="77777777" w:rsidR="00B6355F" w:rsidRDefault="00B6355F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</w:tr>
      <w:tr w:rsidR="00B6355F" w14:paraId="58728A3C" w14:textId="77777777">
        <w:trPr>
          <w:trHeight w:val="468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37E338A" w14:textId="77777777" w:rsidR="00B6355F" w:rsidRDefault="00B6355F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909" w:type="pct"/>
          </w:tcPr>
          <w:p w14:paraId="4B8C2167" w14:textId="77777777" w:rsidR="00B6355F" w:rsidRDefault="00000000">
            <w:pPr>
              <w:numPr>
                <w:ilvl w:val="0"/>
                <w:numId w:val="1"/>
              </w:num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海通证券</w:t>
            </w:r>
          </w:p>
        </w:tc>
        <w:tc>
          <w:tcPr>
            <w:tcW w:w="3181" w:type="pct"/>
          </w:tcPr>
          <w:p w14:paraId="59EA5863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海通证券于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1993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年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2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月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2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日成立于上海市，为上海证券交易所和香港联合交易所上市公司，主要从事</w:t>
            </w:r>
            <w:r>
              <w:rPr>
                <w:rFonts w:ascii="Arial" w:eastAsia="仿宋_GB2312" w:hAnsi="Arial" w:cs="Arial" w:hint="eastAsia"/>
                <w:bCs/>
                <w:kern w:val="0"/>
                <w:sz w:val="24"/>
                <w:szCs w:val="24"/>
              </w:rPr>
              <w:t>财富管理业务、投资银行业务、机构与交易业务和资产管理业务和融资租赁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等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业务。</w:t>
            </w:r>
          </w:p>
          <w:p w14:paraId="6A97AED3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海通证券无最终控制人。</w:t>
            </w:r>
          </w:p>
          <w:p w14:paraId="0E4DC45B" w14:textId="77777777" w:rsidR="00B6355F" w:rsidRDefault="00B6355F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</w:tr>
      <w:tr w:rsidR="00B6355F" w14:paraId="1A5EB778" w14:textId="77777777">
        <w:trPr>
          <w:trHeight w:val="279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14:paraId="3D2DFBF6" w14:textId="77777777" w:rsidR="00B6355F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4090" w:type="pct"/>
            <w:gridSpan w:val="2"/>
          </w:tcPr>
          <w:p w14:paraId="2827CFE1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 xml:space="preserve">1. 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在同一相关市场，参与集中的经营者所占的市场份额之和小于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15%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。</w:t>
            </w:r>
          </w:p>
        </w:tc>
      </w:tr>
      <w:tr w:rsidR="00B6355F" w14:paraId="186BDF02" w14:textId="77777777">
        <w:trPr>
          <w:trHeight w:val="330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3EB12A12" w14:textId="77777777" w:rsidR="00B6355F" w:rsidRDefault="00B6355F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2DA7C636" w14:textId="77777777" w:rsidR="00B6355F" w:rsidRDefault="00000000">
            <w:pPr>
              <w:jc w:val="left"/>
              <w:rPr>
                <w:rFonts w:ascii="Arial" w:eastAsia="仿宋_GB2312" w:hAnsi="Arial" w:cs="Arial"/>
                <w:b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sym w:font="Wingdings" w:char="00A8"/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 xml:space="preserve">2. 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在上下游市场，参与集中的经营者所占的市场份额均小于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25%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。</w:t>
            </w:r>
          </w:p>
        </w:tc>
      </w:tr>
      <w:tr w:rsidR="00B6355F" w14:paraId="2C811FBF" w14:textId="77777777">
        <w:trPr>
          <w:trHeight w:val="285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D571DF3" w14:textId="77777777" w:rsidR="00B6355F" w:rsidRDefault="00B6355F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1224E565" w14:textId="77777777" w:rsidR="00B6355F" w:rsidRDefault="00000000">
            <w:pPr>
              <w:jc w:val="left"/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sym w:font="Wingdings" w:char="00A8"/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 xml:space="preserve">3. 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不在同一相关市场也不存在上下游关系的参与集中的经营者，在与交易有关的每个市场所占的市场份额均小于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25%</w:t>
            </w:r>
            <w:r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  <w:t>。</w:t>
            </w:r>
          </w:p>
        </w:tc>
      </w:tr>
      <w:tr w:rsidR="00B6355F" w14:paraId="2883BA06" w14:textId="77777777">
        <w:trPr>
          <w:trHeight w:val="532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0ABA3DF" w14:textId="77777777" w:rsidR="00B6355F" w:rsidRDefault="00B6355F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03BA98C7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 xml:space="preserve">4. 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B6355F" w14:paraId="0D792E50" w14:textId="77777777">
        <w:trPr>
          <w:trHeight w:val="264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608446B4" w14:textId="77777777" w:rsidR="00B6355F" w:rsidRDefault="00B6355F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4D994F04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 xml:space="preserve">5. 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B6355F" w14:paraId="342C18C3" w14:textId="77777777">
        <w:trPr>
          <w:trHeight w:val="345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CF26F14" w14:textId="77777777" w:rsidR="00B6355F" w:rsidRDefault="00B6355F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7B9C3F0F" w14:textId="77777777" w:rsidR="00B6355F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 xml:space="preserve">6. 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B6355F" w14:paraId="7559157B" w14:textId="77777777">
        <w:trPr>
          <w:trHeight w:val="6475"/>
        </w:trPr>
        <w:tc>
          <w:tcPr>
            <w:tcW w:w="910" w:type="pct"/>
            <w:shd w:val="clear" w:color="auto" w:fill="D9D9D9" w:themeFill="background1" w:themeFillShade="D9"/>
          </w:tcPr>
          <w:p w14:paraId="1ABEC37D" w14:textId="77777777" w:rsidR="00B6355F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4090" w:type="pct"/>
            <w:gridSpan w:val="2"/>
          </w:tcPr>
          <w:p w14:paraId="235E534D" w14:textId="77777777" w:rsidR="00B6355F" w:rsidRDefault="00000000">
            <w:pPr>
              <w:jc w:val="left"/>
              <w:rPr>
                <w:rFonts w:ascii="Arial" w:eastAsia="仿宋_GB2312" w:hAnsi="Arial" w:cs="Arial"/>
                <w:b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b/>
                <w:kern w:val="0"/>
                <w:sz w:val="24"/>
                <w:szCs w:val="24"/>
              </w:rPr>
              <w:t>横向重叠：</w:t>
            </w:r>
          </w:p>
          <w:p w14:paraId="40E3A5D1" w14:textId="77777777" w:rsidR="00B6355F" w:rsidRDefault="00B6355F">
            <w:pPr>
              <w:jc w:val="left"/>
              <w:rPr>
                <w:rFonts w:ascii="Arial" w:eastAsia="仿宋_GB2312" w:hAnsi="Arial" w:cs="Arial"/>
                <w:b/>
                <w:kern w:val="0"/>
                <w:sz w:val="24"/>
                <w:szCs w:val="24"/>
                <w:u w:val="single"/>
              </w:rPr>
            </w:pPr>
          </w:p>
          <w:tbl>
            <w:tblPr>
              <w:tblW w:w="4998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699"/>
              <w:gridCol w:w="2589"/>
              <w:gridCol w:w="1702"/>
              <w:gridCol w:w="2434"/>
            </w:tblGrid>
            <w:tr w:rsidR="00B6355F" w14:paraId="6990D2F1" w14:textId="77777777">
              <w:trPr>
                <w:trHeight w:val="337"/>
                <w:tblHeader/>
              </w:trPr>
              <w:tc>
                <w:tcPr>
                  <w:tcW w:w="471" w:type="pct"/>
                  <w:shd w:val="pct10" w:color="auto" w:fill="FFFFFF"/>
                  <w:vAlign w:val="center"/>
                </w:tcPr>
                <w:p w14:paraId="27BE899A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center"/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1744" w:type="pct"/>
                  <w:shd w:val="pct10" w:color="auto" w:fill="FFFFFF"/>
                  <w:vAlign w:val="center"/>
                </w:tcPr>
                <w:p w14:paraId="53B197E2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center"/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146" w:type="pct"/>
                  <w:shd w:val="pct10" w:color="auto" w:fill="FFFFFF"/>
                  <w:vAlign w:val="center"/>
                </w:tcPr>
                <w:p w14:paraId="531FACA1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center"/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1639" w:type="pct"/>
                  <w:shd w:val="pct10" w:color="auto" w:fill="FFFFFF"/>
                  <w:vAlign w:val="center"/>
                </w:tcPr>
                <w:p w14:paraId="71D5EAF8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center"/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2023</w:t>
                  </w:r>
                  <w: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B6355F" w14:paraId="2DC4566D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73F948BB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3D681E54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  <w:t>证券经纪</w:t>
                  </w:r>
                  <w:r>
                    <w:rPr>
                      <w:rFonts w:ascii="Arial" w:eastAsia="仿宋_GB2312" w:hAnsi="Arial" w:cs="Arial" w:hint="eastAsia"/>
                      <w:kern w:val="0"/>
                      <w:sz w:val="24"/>
                      <w:szCs w:val="24"/>
                    </w:rPr>
                    <w:t>服务</w:t>
                  </w: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718C2E79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7A383D23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3F0B23E9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4FE2F85C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3A909913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60345F80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54408B6A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期货经纪</w:t>
                  </w: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服务</w:t>
                  </w: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08EDB735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71D2D21B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6FC7CAD9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3873FFD5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0A9F13E6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584D3C80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2616E919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证券公司信用业务市场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0E80B1F2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2E835A21" w14:textId="199EE7AD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 w:rsidR="00890B5B"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42E1E774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588DCB43" w14:textId="002A978A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 w:rsidR="00890B5B"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433B5F9A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13CB2178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72CFB3EF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证券承销与保荐服务</w:t>
                  </w: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3413EFD7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78E41166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399C03F8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05CE7219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10-15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08D9841F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5EB9BB43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2BEEE010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财务顾问服务</w:t>
                  </w: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2CC48B01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233A2C5E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00360E6B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4CA6F654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5D671D97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11580370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4B99C707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证券投资交易业务市场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14390BBB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2EDE2FA5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23154F95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6A237648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49425BA9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57E708B7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55462CAC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私募资产管理市场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394BCE8A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5CBED907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55D317BF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0474F3DB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0EF115DE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11C34EBF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0CB0A9EA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sz w:val="24"/>
                      <w:szCs w:val="24"/>
                    </w:rPr>
                    <w:t>公募基金管理</w:t>
                  </w: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140B01E5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09A25AA9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6F2B636B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5D9E28D3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  <w:tr w:rsidR="00B6355F" w14:paraId="0786E832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51E092D4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2F6DBD29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私募股权投资基金管理市场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109875C8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3E51CCB8" w14:textId="5C573316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 w:rsidR="00CF46A6"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7258928B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31902AA7" w14:textId="1B092C5A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 w:rsidR="00CF46A6"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]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%</w:t>
                  </w:r>
                </w:p>
              </w:tc>
            </w:tr>
            <w:tr w:rsidR="00B6355F" w14:paraId="6F78DF7D" w14:textId="77777777">
              <w:trPr>
                <w:trHeight w:val="706"/>
              </w:trPr>
              <w:tc>
                <w:tcPr>
                  <w:tcW w:w="471" w:type="pct"/>
                  <w:shd w:val="clear" w:color="auto" w:fill="auto"/>
                </w:tcPr>
                <w:p w14:paraId="5D8686D3" w14:textId="77777777" w:rsidR="00B6355F" w:rsidRDefault="00B6355F">
                  <w:pPr>
                    <w:pStyle w:val="10"/>
                    <w:numPr>
                      <w:ilvl w:val="0"/>
                      <w:numId w:val="2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 w:firstLineChars="0"/>
                    <w:jc w:val="center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744" w:type="pct"/>
                  <w:shd w:val="clear" w:color="auto" w:fill="auto"/>
                </w:tcPr>
                <w:p w14:paraId="0CEF437E" w14:textId="77777777" w:rsidR="00B6355F" w:rsidRDefault="00000000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ind w:right="-1"/>
                    <w:jc w:val="left"/>
                    <w:rPr>
                      <w:rFonts w:ascii="Arial" w:eastAsia="仿宋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风险管理</w:t>
                  </w: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服</w:t>
                  </w: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务市场</w:t>
                  </w:r>
                </w:p>
              </w:tc>
              <w:tc>
                <w:tcPr>
                  <w:tcW w:w="1146" w:type="pct"/>
                  <w:shd w:val="clear" w:color="auto" w:fill="auto"/>
                </w:tcPr>
                <w:p w14:paraId="2EF8D0FE" w14:textId="77777777" w:rsidR="00B6355F" w:rsidRDefault="00000000">
                  <w:pPr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1639" w:type="pct"/>
                  <w:shd w:val="clear" w:color="auto" w:fill="auto"/>
                </w:tcPr>
                <w:p w14:paraId="2F6FE087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国泰君安：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10B51213" w14:textId="77777777" w:rsidR="00B6355F" w:rsidRDefault="00000000">
                  <w:pPr>
                    <w:widowControl/>
                    <w:snapToGrid w:val="0"/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海通证券：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0-5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  <w:p w14:paraId="4483FBD9" w14:textId="77777777" w:rsidR="00B6355F" w:rsidRDefault="0000000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[</w:t>
                  </w:r>
                  <w:r>
                    <w:rPr>
                      <w:rFonts w:ascii="Arial" w:eastAsia="仿宋_GB2312" w:hAnsi="Arial" w:cs="Arial" w:hint="eastAsia"/>
                      <w:bCs/>
                      <w:kern w:val="0"/>
                      <w:sz w:val="24"/>
                      <w:szCs w:val="24"/>
                    </w:rPr>
                    <w:t>5-10</w:t>
                  </w:r>
                  <w:r>
                    <w:rPr>
                      <w:rFonts w:ascii="Arial" w:eastAsia="仿宋_GB2312" w:hAnsi="Arial" w:cs="Arial"/>
                      <w:bCs/>
                      <w:kern w:val="0"/>
                      <w:sz w:val="24"/>
                      <w:szCs w:val="24"/>
                    </w:rPr>
                    <w:t>]%</w:t>
                  </w:r>
                </w:p>
              </w:tc>
            </w:tr>
          </w:tbl>
          <w:p w14:paraId="092BEE13" w14:textId="77777777" w:rsidR="00B6355F" w:rsidRDefault="00B6355F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</w:tr>
    </w:tbl>
    <w:p w14:paraId="759A13EE" w14:textId="77777777" w:rsidR="00B6355F" w:rsidRDefault="00B6355F">
      <w:pPr>
        <w:pStyle w:val="af1"/>
        <w:ind w:firstLineChars="0" w:firstLine="0"/>
        <w:jc w:val="left"/>
        <w:rPr>
          <w:rFonts w:ascii="Arial" w:eastAsia="仿宋_GB2312" w:hAnsi="Arial" w:cs="Arial"/>
          <w:sz w:val="24"/>
          <w:szCs w:val="24"/>
        </w:rPr>
      </w:pPr>
    </w:p>
    <w:sectPr w:rsidR="00B6355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A93AF" w14:textId="77777777" w:rsidR="00931A4A" w:rsidRDefault="00931A4A">
      <w:r>
        <w:separator/>
      </w:r>
    </w:p>
  </w:endnote>
  <w:endnote w:type="continuationSeparator" w:id="0">
    <w:p w14:paraId="442C0979" w14:textId="77777777" w:rsidR="00931A4A" w:rsidRDefault="0093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351765434"/>
    </w:sdtPr>
    <w:sdtContent>
      <w:sdt>
        <w:sdtPr>
          <w:rPr>
            <w:rFonts w:ascii="Arial" w:hAnsi="Arial" w:cs="Arial"/>
          </w:rPr>
          <w:id w:val="1728636285"/>
        </w:sdtPr>
        <w:sdtContent>
          <w:p w14:paraId="2FCD4F68" w14:textId="77777777" w:rsidR="00B6355F" w:rsidRDefault="00000000">
            <w:pPr>
              <w:pStyle w:val="a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zh-CN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>PAGE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zh-CN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  <w:lang w:val="zh-CN"/>
              </w:rPr>
              <w:t xml:space="preserve"> /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>NUMPAGES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zh-CN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5074B" w14:textId="77777777" w:rsidR="00931A4A" w:rsidRDefault="00931A4A">
      <w:r>
        <w:separator/>
      </w:r>
    </w:p>
  </w:footnote>
  <w:footnote w:type="continuationSeparator" w:id="0">
    <w:p w14:paraId="65C16AAC" w14:textId="77777777" w:rsidR="00931A4A" w:rsidRDefault="00931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32E94"/>
    <w:multiLevelType w:val="multilevel"/>
    <w:tmpl w:val="05232E94"/>
    <w:lvl w:ilvl="0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8479870">
    <w:abstractNumId w:val="1"/>
  </w:num>
  <w:num w:numId="2" w16cid:durableId="67642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RhMDlhNmZjMDhiZjlmODc2MmE1MjljZWI2YjZjYzAifQ=="/>
  </w:docVars>
  <w:rsids>
    <w:rsidRoot w:val="00CB00DF"/>
    <w:rsid w:val="00004D80"/>
    <w:rsid w:val="0001219A"/>
    <w:rsid w:val="00016404"/>
    <w:rsid w:val="000247DB"/>
    <w:rsid w:val="00032D61"/>
    <w:rsid w:val="000346E2"/>
    <w:rsid w:val="00037065"/>
    <w:rsid w:val="00046045"/>
    <w:rsid w:val="0005296D"/>
    <w:rsid w:val="00060786"/>
    <w:rsid w:val="00062E75"/>
    <w:rsid w:val="00066350"/>
    <w:rsid w:val="000719FD"/>
    <w:rsid w:val="00077422"/>
    <w:rsid w:val="0008020F"/>
    <w:rsid w:val="000804DC"/>
    <w:rsid w:val="00092DB5"/>
    <w:rsid w:val="000A1D05"/>
    <w:rsid w:val="000A22A8"/>
    <w:rsid w:val="000A3A58"/>
    <w:rsid w:val="000A6B15"/>
    <w:rsid w:val="000B0A46"/>
    <w:rsid w:val="000B16A6"/>
    <w:rsid w:val="000C377F"/>
    <w:rsid w:val="000C6AB1"/>
    <w:rsid w:val="000D7EBA"/>
    <w:rsid w:val="000E1FD3"/>
    <w:rsid w:val="000F33E1"/>
    <w:rsid w:val="001036FF"/>
    <w:rsid w:val="0010572C"/>
    <w:rsid w:val="00107E5C"/>
    <w:rsid w:val="00111C90"/>
    <w:rsid w:val="0011450A"/>
    <w:rsid w:val="00115C8C"/>
    <w:rsid w:val="00116377"/>
    <w:rsid w:val="001164CD"/>
    <w:rsid w:val="00117D16"/>
    <w:rsid w:val="00130874"/>
    <w:rsid w:val="00134BF9"/>
    <w:rsid w:val="0013577E"/>
    <w:rsid w:val="00136643"/>
    <w:rsid w:val="00152D0A"/>
    <w:rsid w:val="00155717"/>
    <w:rsid w:val="00155981"/>
    <w:rsid w:val="00157F94"/>
    <w:rsid w:val="00162287"/>
    <w:rsid w:val="00175FF1"/>
    <w:rsid w:val="001837A3"/>
    <w:rsid w:val="00184E9A"/>
    <w:rsid w:val="0018655E"/>
    <w:rsid w:val="00195811"/>
    <w:rsid w:val="0019660D"/>
    <w:rsid w:val="001A7E31"/>
    <w:rsid w:val="001B05F8"/>
    <w:rsid w:val="001B4E74"/>
    <w:rsid w:val="001C08DA"/>
    <w:rsid w:val="001C3209"/>
    <w:rsid w:val="001D3755"/>
    <w:rsid w:val="001E73E7"/>
    <w:rsid w:val="00205C1E"/>
    <w:rsid w:val="00207F3E"/>
    <w:rsid w:val="00213EC0"/>
    <w:rsid w:val="002174C0"/>
    <w:rsid w:val="00222F09"/>
    <w:rsid w:val="00256A1D"/>
    <w:rsid w:val="00260CEC"/>
    <w:rsid w:val="00261605"/>
    <w:rsid w:val="00271790"/>
    <w:rsid w:val="0027194E"/>
    <w:rsid w:val="00272C6D"/>
    <w:rsid w:val="0027695B"/>
    <w:rsid w:val="0027775D"/>
    <w:rsid w:val="00284388"/>
    <w:rsid w:val="00290E6A"/>
    <w:rsid w:val="00295809"/>
    <w:rsid w:val="002961BD"/>
    <w:rsid w:val="002A7B1A"/>
    <w:rsid w:val="002B0F1D"/>
    <w:rsid w:val="002B540C"/>
    <w:rsid w:val="002B6AF4"/>
    <w:rsid w:val="002C7953"/>
    <w:rsid w:val="002D3E65"/>
    <w:rsid w:val="002D4185"/>
    <w:rsid w:val="002E6891"/>
    <w:rsid w:val="002F0C29"/>
    <w:rsid w:val="002F365B"/>
    <w:rsid w:val="002F4002"/>
    <w:rsid w:val="003102B6"/>
    <w:rsid w:val="00310AE8"/>
    <w:rsid w:val="003142CE"/>
    <w:rsid w:val="003212E8"/>
    <w:rsid w:val="00334FCC"/>
    <w:rsid w:val="003357A5"/>
    <w:rsid w:val="00335A4F"/>
    <w:rsid w:val="00335BE3"/>
    <w:rsid w:val="003367A8"/>
    <w:rsid w:val="00352EAE"/>
    <w:rsid w:val="00357202"/>
    <w:rsid w:val="003619E6"/>
    <w:rsid w:val="0037047F"/>
    <w:rsid w:val="00377BDC"/>
    <w:rsid w:val="003802E4"/>
    <w:rsid w:val="00380EAC"/>
    <w:rsid w:val="00390642"/>
    <w:rsid w:val="00391A75"/>
    <w:rsid w:val="003B3767"/>
    <w:rsid w:val="003C0AEB"/>
    <w:rsid w:val="003D3405"/>
    <w:rsid w:val="003E1CE6"/>
    <w:rsid w:val="003F1773"/>
    <w:rsid w:val="003F4650"/>
    <w:rsid w:val="00402CF6"/>
    <w:rsid w:val="004064B4"/>
    <w:rsid w:val="00407447"/>
    <w:rsid w:val="004074C0"/>
    <w:rsid w:val="004143C0"/>
    <w:rsid w:val="00416075"/>
    <w:rsid w:val="00417412"/>
    <w:rsid w:val="00422EAC"/>
    <w:rsid w:val="0043301C"/>
    <w:rsid w:val="00442FE3"/>
    <w:rsid w:val="00446D79"/>
    <w:rsid w:val="004521DE"/>
    <w:rsid w:val="00462B3E"/>
    <w:rsid w:val="00463AFF"/>
    <w:rsid w:val="004642E2"/>
    <w:rsid w:val="0046717A"/>
    <w:rsid w:val="00472F0A"/>
    <w:rsid w:val="004763DC"/>
    <w:rsid w:val="004A75A4"/>
    <w:rsid w:val="004B06CB"/>
    <w:rsid w:val="004B2960"/>
    <w:rsid w:val="004B47D3"/>
    <w:rsid w:val="004C48DA"/>
    <w:rsid w:val="004C7E01"/>
    <w:rsid w:val="004D0526"/>
    <w:rsid w:val="004D3A26"/>
    <w:rsid w:val="004E164E"/>
    <w:rsid w:val="004E5E37"/>
    <w:rsid w:val="004E64FE"/>
    <w:rsid w:val="004F5511"/>
    <w:rsid w:val="004F7688"/>
    <w:rsid w:val="0050341D"/>
    <w:rsid w:val="00512C1A"/>
    <w:rsid w:val="005203C7"/>
    <w:rsid w:val="00522770"/>
    <w:rsid w:val="00527021"/>
    <w:rsid w:val="005369AA"/>
    <w:rsid w:val="00537D9F"/>
    <w:rsid w:val="0055092B"/>
    <w:rsid w:val="00553469"/>
    <w:rsid w:val="00563F5A"/>
    <w:rsid w:val="00575970"/>
    <w:rsid w:val="00577907"/>
    <w:rsid w:val="0059676A"/>
    <w:rsid w:val="005A0AAF"/>
    <w:rsid w:val="005A0C37"/>
    <w:rsid w:val="005A267C"/>
    <w:rsid w:val="005B72DD"/>
    <w:rsid w:val="005C107D"/>
    <w:rsid w:val="005C15B1"/>
    <w:rsid w:val="005C1B45"/>
    <w:rsid w:val="005C3125"/>
    <w:rsid w:val="005C4DA7"/>
    <w:rsid w:val="005D00CE"/>
    <w:rsid w:val="005D140A"/>
    <w:rsid w:val="005D382E"/>
    <w:rsid w:val="005D429C"/>
    <w:rsid w:val="005D503A"/>
    <w:rsid w:val="005D54FC"/>
    <w:rsid w:val="005D5F79"/>
    <w:rsid w:val="005F3574"/>
    <w:rsid w:val="005F5B2D"/>
    <w:rsid w:val="006058E2"/>
    <w:rsid w:val="006065FE"/>
    <w:rsid w:val="00614624"/>
    <w:rsid w:val="00617E48"/>
    <w:rsid w:val="00620768"/>
    <w:rsid w:val="006210D2"/>
    <w:rsid w:val="00621619"/>
    <w:rsid w:val="006238E5"/>
    <w:rsid w:val="00631F1B"/>
    <w:rsid w:val="0063707A"/>
    <w:rsid w:val="006467D8"/>
    <w:rsid w:val="0066313A"/>
    <w:rsid w:val="0067196A"/>
    <w:rsid w:val="0067263E"/>
    <w:rsid w:val="006832AD"/>
    <w:rsid w:val="0068401B"/>
    <w:rsid w:val="006A531B"/>
    <w:rsid w:val="006B1469"/>
    <w:rsid w:val="006B19BF"/>
    <w:rsid w:val="006B4EA5"/>
    <w:rsid w:val="006C4CC4"/>
    <w:rsid w:val="006D15E6"/>
    <w:rsid w:val="006D7E9E"/>
    <w:rsid w:val="006E5DDD"/>
    <w:rsid w:val="006F7693"/>
    <w:rsid w:val="00700431"/>
    <w:rsid w:val="0070328A"/>
    <w:rsid w:val="00703F1D"/>
    <w:rsid w:val="00710140"/>
    <w:rsid w:val="007132C6"/>
    <w:rsid w:val="007167F2"/>
    <w:rsid w:val="00721967"/>
    <w:rsid w:val="0072399D"/>
    <w:rsid w:val="0073257A"/>
    <w:rsid w:val="00732875"/>
    <w:rsid w:val="0074182E"/>
    <w:rsid w:val="00743297"/>
    <w:rsid w:val="007529A5"/>
    <w:rsid w:val="00766931"/>
    <w:rsid w:val="007679D6"/>
    <w:rsid w:val="00772FE5"/>
    <w:rsid w:val="00775D4A"/>
    <w:rsid w:val="00785A96"/>
    <w:rsid w:val="00785F54"/>
    <w:rsid w:val="00790F92"/>
    <w:rsid w:val="00793AC7"/>
    <w:rsid w:val="007A0305"/>
    <w:rsid w:val="007A2C37"/>
    <w:rsid w:val="007A5B67"/>
    <w:rsid w:val="007A6264"/>
    <w:rsid w:val="007B6AFA"/>
    <w:rsid w:val="007B7A04"/>
    <w:rsid w:val="007C0378"/>
    <w:rsid w:val="007C57BA"/>
    <w:rsid w:val="007D1B11"/>
    <w:rsid w:val="007E2FB0"/>
    <w:rsid w:val="007E6283"/>
    <w:rsid w:val="007E6C51"/>
    <w:rsid w:val="007F2275"/>
    <w:rsid w:val="007F2FDD"/>
    <w:rsid w:val="00814160"/>
    <w:rsid w:val="0081793B"/>
    <w:rsid w:val="00817CD6"/>
    <w:rsid w:val="00840739"/>
    <w:rsid w:val="00842DC7"/>
    <w:rsid w:val="00843E49"/>
    <w:rsid w:val="00846A03"/>
    <w:rsid w:val="008555EA"/>
    <w:rsid w:val="00855B05"/>
    <w:rsid w:val="00861BFA"/>
    <w:rsid w:val="00866315"/>
    <w:rsid w:val="00867B57"/>
    <w:rsid w:val="008708DB"/>
    <w:rsid w:val="0087434E"/>
    <w:rsid w:val="00874DDA"/>
    <w:rsid w:val="00877561"/>
    <w:rsid w:val="008851F3"/>
    <w:rsid w:val="00890B5B"/>
    <w:rsid w:val="00890CE7"/>
    <w:rsid w:val="008933D8"/>
    <w:rsid w:val="008972F8"/>
    <w:rsid w:val="008A4664"/>
    <w:rsid w:val="008B05BC"/>
    <w:rsid w:val="008C4830"/>
    <w:rsid w:val="008D4B69"/>
    <w:rsid w:val="008D745F"/>
    <w:rsid w:val="008E04A2"/>
    <w:rsid w:val="008E3999"/>
    <w:rsid w:val="008F0FB8"/>
    <w:rsid w:val="008F4E3E"/>
    <w:rsid w:val="008F6B46"/>
    <w:rsid w:val="00902336"/>
    <w:rsid w:val="00902393"/>
    <w:rsid w:val="00902CED"/>
    <w:rsid w:val="0091257A"/>
    <w:rsid w:val="00915F0F"/>
    <w:rsid w:val="00917443"/>
    <w:rsid w:val="00917886"/>
    <w:rsid w:val="009206D3"/>
    <w:rsid w:val="009211B1"/>
    <w:rsid w:val="00931A4A"/>
    <w:rsid w:val="00933559"/>
    <w:rsid w:val="00933F10"/>
    <w:rsid w:val="009352A1"/>
    <w:rsid w:val="00935E1E"/>
    <w:rsid w:val="009532DF"/>
    <w:rsid w:val="0097617B"/>
    <w:rsid w:val="009819CA"/>
    <w:rsid w:val="00986649"/>
    <w:rsid w:val="00987399"/>
    <w:rsid w:val="00995FB9"/>
    <w:rsid w:val="00997019"/>
    <w:rsid w:val="009A38E5"/>
    <w:rsid w:val="009A4358"/>
    <w:rsid w:val="009A5029"/>
    <w:rsid w:val="009A7F68"/>
    <w:rsid w:val="009B052F"/>
    <w:rsid w:val="009C3A13"/>
    <w:rsid w:val="009D38D5"/>
    <w:rsid w:val="009D3D37"/>
    <w:rsid w:val="009E0B03"/>
    <w:rsid w:val="009E40EE"/>
    <w:rsid w:val="009E4CC0"/>
    <w:rsid w:val="009E5DC7"/>
    <w:rsid w:val="009F0D5C"/>
    <w:rsid w:val="009F70E6"/>
    <w:rsid w:val="00A107BB"/>
    <w:rsid w:val="00A20ADA"/>
    <w:rsid w:val="00A244E6"/>
    <w:rsid w:val="00A30CD6"/>
    <w:rsid w:val="00A33EB2"/>
    <w:rsid w:val="00A36886"/>
    <w:rsid w:val="00A41D6C"/>
    <w:rsid w:val="00A42B6F"/>
    <w:rsid w:val="00A448C3"/>
    <w:rsid w:val="00A47ABA"/>
    <w:rsid w:val="00A47FDC"/>
    <w:rsid w:val="00A53A3B"/>
    <w:rsid w:val="00A53F26"/>
    <w:rsid w:val="00A55B45"/>
    <w:rsid w:val="00A55CF9"/>
    <w:rsid w:val="00A60A05"/>
    <w:rsid w:val="00A66B64"/>
    <w:rsid w:val="00A67B92"/>
    <w:rsid w:val="00A7198D"/>
    <w:rsid w:val="00A81D50"/>
    <w:rsid w:val="00A83BED"/>
    <w:rsid w:val="00A851CF"/>
    <w:rsid w:val="00AA0CC5"/>
    <w:rsid w:val="00AA4FA8"/>
    <w:rsid w:val="00AB276B"/>
    <w:rsid w:val="00AD74B7"/>
    <w:rsid w:val="00AF10DD"/>
    <w:rsid w:val="00AF511A"/>
    <w:rsid w:val="00AF7694"/>
    <w:rsid w:val="00B01955"/>
    <w:rsid w:val="00B01C94"/>
    <w:rsid w:val="00B11935"/>
    <w:rsid w:val="00B13E8A"/>
    <w:rsid w:val="00B16AFE"/>
    <w:rsid w:val="00B24F10"/>
    <w:rsid w:val="00B3480F"/>
    <w:rsid w:val="00B352EE"/>
    <w:rsid w:val="00B36FD7"/>
    <w:rsid w:val="00B41FBA"/>
    <w:rsid w:val="00B423F0"/>
    <w:rsid w:val="00B43968"/>
    <w:rsid w:val="00B448F8"/>
    <w:rsid w:val="00B50DBB"/>
    <w:rsid w:val="00B53863"/>
    <w:rsid w:val="00B6355F"/>
    <w:rsid w:val="00B65DD5"/>
    <w:rsid w:val="00B670A2"/>
    <w:rsid w:val="00B709BC"/>
    <w:rsid w:val="00B719ED"/>
    <w:rsid w:val="00B73AF1"/>
    <w:rsid w:val="00B76E41"/>
    <w:rsid w:val="00BA1170"/>
    <w:rsid w:val="00BA2FD6"/>
    <w:rsid w:val="00BA36B0"/>
    <w:rsid w:val="00BA3F4D"/>
    <w:rsid w:val="00BB11C7"/>
    <w:rsid w:val="00BB538E"/>
    <w:rsid w:val="00BB58BD"/>
    <w:rsid w:val="00BB6065"/>
    <w:rsid w:val="00BB7037"/>
    <w:rsid w:val="00BC0867"/>
    <w:rsid w:val="00BC2617"/>
    <w:rsid w:val="00BC6417"/>
    <w:rsid w:val="00BD10B6"/>
    <w:rsid w:val="00BD2747"/>
    <w:rsid w:val="00BD32C9"/>
    <w:rsid w:val="00BD3442"/>
    <w:rsid w:val="00BF2C5C"/>
    <w:rsid w:val="00BF2C9C"/>
    <w:rsid w:val="00BF4D98"/>
    <w:rsid w:val="00C07076"/>
    <w:rsid w:val="00C10124"/>
    <w:rsid w:val="00C104B5"/>
    <w:rsid w:val="00C11008"/>
    <w:rsid w:val="00C12A21"/>
    <w:rsid w:val="00C15054"/>
    <w:rsid w:val="00C17DF9"/>
    <w:rsid w:val="00C20890"/>
    <w:rsid w:val="00C309FD"/>
    <w:rsid w:val="00C313DD"/>
    <w:rsid w:val="00C335E8"/>
    <w:rsid w:val="00C43014"/>
    <w:rsid w:val="00C627B2"/>
    <w:rsid w:val="00C64EA8"/>
    <w:rsid w:val="00C8055E"/>
    <w:rsid w:val="00C80C6A"/>
    <w:rsid w:val="00C8727D"/>
    <w:rsid w:val="00C95787"/>
    <w:rsid w:val="00C9639F"/>
    <w:rsid w:val="00CA0A1D"/>
    <w:rsid w:val="00CA4FDF"/>
    <w:rsid w:val="00CA6BDE"/>
    <w:rsid w:val="00CA6CC9"/>
    <w:rsid w:val="00CB00DF"/>
    <w:rsid w:val="00CB39E6"/>
    <w:rsid w:val="00CC0806"/>
    <w:rsid w:val="00CC28D2"/>
    <w:rsid w:val="00CD2BD2"/>
    <w:rsid w:val="00CD306E"/>
    <w:rsid w:val="00CD6223"/>
    <w:rsid w:val="00CE2A71"/>
    <w:rsid w:val="00CE3F01"/>
    <w:rsid w:val="00CE7958"/>
    <w:rsid w:val="00CF0A8B"/>
    <w:rsid w:val="00CF46A6"/>
    <w:rsid w:val="00CF6546"/>
    <w:rsid w:val="00D03398"/>
    <w:rsid w:val="00D04C3F"/>
    <w:rsid w:val="00D21441"/>
    <w:rsid w:val="00D235F4"/>
    <w:rsid w:val="00D3357C"/>
    <w:rsid w:val="00D41DC0"/>
    <w:rsid w:val="00D43B58"/>
    <w:rsid w:val="00D46218"/>
    <w:rsid w:val="00D46CAF"/>
    <w:rsid w:val="00D53330"/>
    <w:rsid w:val="00D552DD"/>
    <w:rsid w:val="00D56DCF"/>
    <w:rsid w:val="00D70415"/>
    <w:rsid w:val="00D70CEE"/>
    <w:rsid w:val="00D72D5A"/>
    <w:rsid w:val="00D73C72"/>
    <w:rsid w:val="00D77520"/>
    <w:rsid w:val="00D834AF"/>
    <w:rsid w:val="00D84AB1"/>
    <w:rsid w:val="00D865FF"/>
    <w:rsid w:val="00D87218"/>
    <w:rsid w:val="00D878F7"/>
    <w:rsid w:val="00D90118"/>
    <w:rsid w:val="00D930FF"/>
    <w:rsid w:val="00D97ACC"/>
    <w:rsid w:val="00DB1450"/>
    <w:rsid w:val="00DB7A75"/>
    <w:rsid w:val="00DC0095"/>
    <w:rsid w:val="00DC1EB0"/>
    <w:rsid w:val="00DC235D"/>
    <w:rsid w:val="00DD41F4"/>
    <w:rsid w:val="00DE01D6"/>
    <w:rsid w:val="00DE2653"/>
    <w:rsid w:val="00DE4264"/>
    <w:rsid w:val="00DE55AA"/>
    <w:rsid w:val="00DE5B12"/>
    <w:rsid w:val="00DE5BF0"/>
    <w:rsid w:val="00DF62D7"/>
    <w:rsid w:val="00E03C2A"/>
    <w:rsid w:val="00E04650"/>
    <w:rsid w:val="00E0592B"/>
    <w:rsid w:val="00E05B45"/>
    <w:rsid w:val="00E143C7"/>
    <w:rsid w:val="00E17D20"/>
    <w:rsid w:val="00E23CDA"/>
    <w:rsid w:val="00E26D57"/>
    <w:rsid w:val="00E31738"/>
    <w:rsid w:val="00E33A62"/>
    <w:rsid w:val="00E34D66"/>
    <w:rsid w:val="00E40714"/>
    <w:rsid w:val="00E41823"/>
    <w:rsid w:val="00E46B05"/>
    <w:rsid w:val="00E53101"/>
    <w:rsid w:val="00E5780A"/>
    <w:rsid w:val="00E621AE"/>
    <w:rsid w:val="00E65777"/>
    <w:rsid w:val="00E7347E"/>
    <w:rsid w:val="00E76732"/>
    <w:rsid w:val="00E828E7"/>
    <w:rsid w:val="00E83F7A"/>
    <w:rsid w:val="00E86786"/>
    <w:rsid w:val="00E93D99"/>
    <w:rsid w:val="00E9623B"/>
    <w:rsid w:val="00EA0008"/>
    <w:rsid w:val="00EA4D76"/>
    <w:rsid w:val="00EB5115"/>
    <w:rsid w:val="00EC276D"/>
    <w:rsid w:val="00EC705C"/>
    <w:rsid w:val="00ED2F80"/>
    <w:rsid w:val="00ED790A"/>
    <w:rsid w:val="00EE562B"/>
    <w:rsid w:val="00EE5CBC"/>
    <w:rsid w:val="00F02E65"/>
    <w:rsid w:val="00F03F5B"/>
    <w:rsid w:val="00F0456B"/>
    <w:rsid w:val="00F05CBC"/>
    <w:rsid w:val="00F0673B"/>
    <w:rsid w:val="00F1624E"/>
    <w:rsid w:val="00F318E3"/>
    <w:rsid w:val="00F32F8A"/>
    <w:rsid w:val="00F33C36"/>
    <w:rsid w:val="00F34469"/>
    <w:rsid w:val="00F57866"/>
    <w:rsid w:val="00F810AA"/>
    <w:rsid w:val="00F83A71"/>
    <w:rsid w:val="00FA21C4"/>
    <w:rsid w:val="00FA5D36"/>
    <w:rsid w:val="00FA6762"/>
    <w:rsid w:val="00FA77AC"/>
    <w:rsid w:val="00FB42DB"/>
    <w:rsid w:val="00FB43EC"/>
    <w:rsid w:val="00FB6B40"/>
    <w:rsid w:val="00FC094F"/>
    <w:rsid w:val="00FC5ECC"/>
    <w:rsid w:val="00FC7A0D"/>
    <w:rsid w:val="00FD1C9B"/>
    <w:rsid w:val="00FD6132"/>
    <w:rsid w:val="00FD746C"/>
    <w:rsid w:val="00FE3D31"/>
    <w:rsid w:val="00FE4F2B"/>
    <w:rsid w:val="00FE5F01"/>
    <w:rsid w:val="00FF20B0"/>
    <w:rsid w:val="00FF6C4C"/>
    <w:rsid w:val="42870DEC"/>
    <w:rsid w:val="5A406752"/>
    <w:rsid w:val="65B97863"/>
    <w:rsid w:val="6F4A58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0258C"/>
  <w15:docId w15:val="{4271FC4C-B4E6-48A5-8DCC-18B35A0A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10">
    <w:name w:val="列表段落1"/>
    <w:basedOn w:val="a"/>
    <w:link w:val="af2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f2">
    <w:name w:val="列出段落 字符"/>
    <w:link w:val="10"/>
    <w:uiPriority w:val="34"/>
    <w:qFormat/>
    <w:locked/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customStyle="1" w:styleId="2">
    <w:name w:val="修订2"/>
    <w:hidden/>
    <w:uiPriority w:val="99"/>
    <w:unhideWhenUsed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3">
    <w:name w:val="修订3"/>
    <w:hidden/>
    <w:uiPriority w:val="99"/>
    <w:unhideWhenUsed/>
    <w:rPr>
      <w:rFonts w:ascii="Calibri" w:eastAsia="宋体" w:hAnsi="Calibri" w:cs="Times New Roman"/>
      <w:kern w:val="2"/>
      <w:sz w:val="21"/>
      <w:szCs w:val="22"/>
    </w:rPr>
  </w:style>
  <w:style w:type="paragraph" w:styleId="af3">
    <w:name w:val="Revision"/>
    <w:hidden/>
    <w:uiPriority w:val="99"/>
    <w:unhideWhenUsed/>
    <w:rsid w:val="00775D4A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424E9-BCCA-4B10-901B-F773D73C8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 </cp:lastModifiedBy>
  <cp:revision>136</cp:revision>
  <cp:lastPrinted>2024-09-24T13:51:00Z</cp:lastPrinted>
  <dcterms:created xsi:type="dcterms:W3CDTF">2024-08-01T05:06:00Z</dcterms:created>
  <dcterms:modified xsi:type="dcterms:W3CDTF">2024-10-18T01:51:00Z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6F2CD83430E74C1B832BC56FEEA84AF8_12</vt:lpwstr>
  </property>
</Properties>
</file>