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方正小标宋简体" w:cs="Times New Roman"/>
          <w:bCs/>
          <w:kern w:val="0"/>
          <w:sz w:val="44"/>
          <w:szCs w:val="44"/>
          <w:lang w:val="en-GB" w:bidi="ar-AE"/>
        </w:rPr>
      </w:pPr>
      <w:r>
        <w:rPr>
          <w:rFonts w:hint="default" w:ascii="Times New Roman" w:hAnsi="Times New Roman" w:eastAsia="黑体" w:cs="Times New Roman"/>
          <w:bCs/>
          <w:sz w:val="44"/>
          <w:szCs w:val="44"/>
          <w:lang w:val="en-US" w:eastAsia="zh-CN"/>
        </w:rPr>
        <w:t xml:space="preserve"> </w:t>
      </w:r>
      <w:r>
        <w:rPr>
          <w:rFonts w:hint="default" w:ascii="Times New Roman" w:hAnsi="Times New Roman" w:eastAsia="方正小标宋简体" w:cs="Times New Roman"/>
          <w:bCs/>
          <w:kern w:val="0"/>
          <w:sz w:val="44"/>
          <w:szCs w:val="44"/>
          <w:lang w:val="en-GB" w:bidi="ar-AE"/>
        </w:rPr>
        <w:t>经营者集中简易案件公示表</w:t>
      </w:r>
      <w:bookmarkStart w:id="0" w:name="_GoBack"/>
      <w:bookmarkEnd w:id="0"/>
    </w:p>
    <w:tbl>
      <w:tblPr>
        <w:tblStyle w:val="10"/>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rPr>
            </w:pPr>
            <w:r>
              <w:rPr>
                <w:rFonts w:hint="eastAsia" w:ascii="宋体" w:hAnsi="宋体" w:eastAsia="宋体" w:cs="宋体"/>
                <w:b w:val="0"/>
                <w:bCs/>
                <w:color w:val="000000"/>
                <w:kern w:val="0"/>
                <w:sz w:val="24"/>
                <w:szCs w:val="24"/>
                <w:lang w:val="en-GB"/>
              </w:rPr>
              <w:t>案件名称</w:t>
            </w:r>
          </w:p>
        </w:tc>
        <w:tc>
          <w:tcPr>
            <w:tcW w:w="7700" w:type="dxa"/>
            <w:gridSpan w:val="2"/>
            <w:noWrap w:val="0"/>
            <w:vAlign w:val="center"/>
          </w:tcPr>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佛山市南海区越汇房地产开发有限公司收购广东龙悦湾投资管理有限公司股权案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r>
              <w:rPr>
                <w:rFonts w:hint="eastAsia" w:ascii="宋体" w:hAnsi="宋体" w:eastAsia="宋体" w:cs="宋体"/>
                <w:b w:val="0"/>
                <w:bCs/>
                <w:color w:val="000000"/>
                <w:kern w:val="0"/>
                <w:sz w:val="24"/>
                <w:szCs w:val="24"/>
                <w:lang w:val="en-GB" w:eastAsia="zh-CN"/>
              </w:rPr>
              <w:t>交易概况（限200字内）</w:t>
            </w:r>
          </w:p>
        </w:tc>
        <w:tc>
          <w:tcPr>
            <w:tcW w:w="7700" w:type="dxa"/>
            <w:gridSpan w:val="2"/>
            <w:noWrap w:val="0"/>
            <w:vAlign w:val="center"/>
          </w:tcPr>
          <w:p>
            <w:pPr>
              <w:keepNext w:val="0"/>
              <w:keepLines w:val="0"/>
              <w:pageBreakBefore w:val="0"/>
              <w:widowControl w:val="0"/>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GB" w:eastAsia="zh-CN" w:bidi="ar-AE"/>
              </w:rPr>
            </w:pPr>
            <w:r>
              <w:rPr>
                <w:rFonts w:hint="eastAsia" w:ascii="宋体" w:hAnsi="宋体" w:eastAsia="宋体" w:cs="宋体"/>
                <w:b w:val="0"/>
                <w:bCs/>
                <w:color w:val="000000"/>
                <w:kern w:val="0"/>
                <w:sz w:val="24"/>
                <w:szCs w:val="24"/>
                <w:lang w:val="en-US" w:eastAsia="zh-CN" w:bidi="ar-AE"/>
              </w:rPr>
              <w:t>佛山市南海区越汇房地产开发有限公司（“佛山越汇”）与</w:t>
            </w:r>
            <w:r>
              <w:rPr>
                <w:rFonts w:hint="eastAsia" w:ascii="宋体" w:hAnsi="宋体" w:cs="宋体"/>
                <w:b w:val="0"/>
                <w:bCs/>
                <w:color w:val="000000"/>
                <w:kern w:val="0"/>
                <w:sz w:val="24"/>
                <w:szCs w:val="24"/>
                <w:lang w:val="en-US" w:eastAsia="zh-CN" w:bidi="ar-AE"/>
              </w:rPr>
              <w:t>南方鼎元资产运营有限责任公司（“鼎元资产”）</w:t>
            </w:r>
            <w:r>
              <w:rPr>
                <w:rFonts w:hint="eastAsia" w:ascii="宋体" w:hAnsi="宋体" w:eastAsia="宋体" w:cs="宋体"/>
                <w:b w:val="0"/>
                <w:bCs/>
                <w:color w:val="000000"/>
                <w:kern w:val="0"/>
                <w:sz w:val="24"/>
                <w:szCs w:val="24"/>
                <w:lang w:val="en-US" w:eastAsia="zh-CN" w:bidi="ar-AE"/>
              </w:rPr>
              <w:t>等</w:t>
            </w:r>
            <w:r>
              <w:rPr>
                <w:rFonts w:hint="eastAsia" w:ascii="宋体" w:hAnsi="宋体" w:cs="宋体"/>
                <w:b w:val="0"/>
                <w:bCs/>
                <w:color w:val="000000"/>
                <w:kern w:val="0"/>
                <w:sz w:val="24"/>
                <w:szCs w:val="24"/>
                <w:lang w:val="en-US" w:eastAsia="zh-CN" w:bidi="ar-AE"/>
              </w:rPr>
              <w:t>经营者</w:t>
            </w:r>
            <w:r>
              <w:rPr>
                <w:rFonts w:hint="eastAsia" w:ascii="宋体" w:hAnsi="宋体" w:eastAsia="宋体" w:cs="宋体"/>
                <w:kern w:val="0"/>
                <w:sz w:val="24"/>
                <w:szCs w:val="24"/>
                <w:lang w:val="en-GB" w:eastAsia="zh-CN" w:bidi="ar-AE"/>
              </w:rPr>
              <w:t>签署协议，</w:t>
            </w:r>
            <w:r>
              <w:rPr>
                <w:rFonts w:hint="eastAsia" w:ascii="宋体" w:hAnsi="宋体" w:eastAsia="宋体" w:cs="宋体"/>
                <w:b w:val="0"/>
                <w:bCs/>
                <w:color w:val="000000"/>
                <w:kern w:val="0"/>
                <w:sz w:val="24"/>
                <w:szCs w:val="24"/>
                <w:lang w:val="en-US" w:eastAsia="zh-CN" w:bidi="ar-AE"/>
              </w:rPr>
              <w:t>佛山越汇</w:t>
            </w:r>
            <w:r>
              <w:rPr>
                <w:rFonts w:hint="eastAsia" w:ascii="宋体" w:hAnsi="宋体" w:cs="宋体"/>
                <w:b w:val="0"/>
                <w:bCs/>
                <w:color w:val="000000"/>
                <w:kern w:val="0"/>
                <w:sz w:val="24"/>
                <w:szCs w:val="24"/>
                <w:lang w:val="en-US" w:eastAsia="zh-CN" w:bidi="ar-AE"/>
              </w:rPr>
              <w:t>通过增资方式</w:t>
            </w:r>
            <w:r>
              <w:rPr>
                <w:rFonts w:hint="eastAsia" w:ascii="宋体" w:hAnsi="宋体" w:eastAsia="宋体" w:cs="宋体"/>
                <w:b w:val="0"/>
                <w:bCs/>
                <w:color w:val="000000"/>
                <w:kern w:val="0"/>
                <w:sz w:val="24"/>
                <w:szCs w:val="24"/>
                <w:lang w:val="en-US" w:eastAsia="zh-CN" w:bidi="ar-AE"/>
              </w:rPr>
              <w:t>收购广东龙悦湾投资管理有限公司（“龙悦湾”）共计</w:t>
            </w:r>
            <w:r>
              <w:rPr>
                <w:rFonts w:hint="eastAsia" w:ascii="宋体" w:hAnsi="宋体" w:cs="宋体"/>
                <w:b w:val="0"/>
                <w:bCs/>
                <w:color w:val="000000"/>
                <w:kern w:val="0"/>
                <w:sz w:val="24"/>
                <w:szCs w:val="24"/>
                <w:lang w:val="en-US" w:eastAsia="zh-CN" w:bidi="ar-AE"/>
              </w:rPr>
              <w:t>53%的股权</w:t>
            </w:r>
            <w:r>
              <w:rPr>
                <w:rFonts w:hint="eastAsia" w:ascii="宋体" w:hAnsi="宋体" w:eastAsia="宋体" w:cs="宋体"/>
                <w:b w:val="0"/>
                <w:bCs/>
                <w:color w:val="000000"/>
                <w:kern w:val="0"/>
                <w:sz w:val="24"/>
                <w:szCs w:val="24"/>
                <w:lang w:val="en-US" w:eastAsia="zh-CN" w:bidi="ar-AE"/>
              </w:rPr>
              <w:t>。龙悦湾</w:t>
            </w:r>
            <w:r>
              <w:rPr>
                <w:rFonts w:hint="eastAsia" w:ascii="宋体" w:hAnsi="宋体" w:cs="宋体"/>
                <w:b w:val="0"/>
                <w:bCs/>
                <w:color w:val="000000"/>
                <w:kern w:val="0"/>
                <w:sz w:val="24"/>
                <w:szCs w:val="24"/>
                <w:lang w:val="en-US" w:eastAsia="zh-CN" w:bidi="ar-AE"/>
              </w:rPr>
              <w:t>主要</w:t>
            </w:r>
            <w:r>
              <w:rPr>
                <w:rFonts w:hint="eastAsia" w:ascii="宋体" w:hAnsi="宋体" w:eastAsia="宋体" w:cs="宋体"/>
                <w:b w:val="0"/>
                <w:bCs/>
                <w:color w:val="000000"/>
                <w:kern w:val="0"/>
                <w:sz w:val="24"/>
                <w:szCs w:val="24"/>
                <w:lang w:val="en-US" w:eastAsia="zh-CN" w:bidi="ar-AE"/>
              </w:rPr>
              <w:t>从事</w:t>
            </w:r>
            <w:r>
              <w:rPr>
                <w:rFonts w:hint="eastAsia" w:ascii="宋体" w:hAnsi="宋体" w:cs="宋体"/>
                <w:b w:val="0"/>
                <w:bCs/>
                <w:color w:val="000000"/>
                <w:kern w:val="0"/>
                <w:sz w:val="24"/>
                <w:szCs w:val="24"/>
                <w:lang w:val="en-US" w:eastAsia="zh-CN" w:bidi="ar-AE"/>
              </w:rPr>
              <w:t>商品住宅开发和销售业务</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kern w:val="0"/>
                <w:sz w:val="24"/>
                <w:szCs w:val="24"/>
                <w:lang w:val="en-GB" w:eastAsia="zh-CN" w:bidi="ar-AE"/>
              </w:rPr>
              <w:t>交易前，</w:t>
            </w:r>
            <w:r>
              <w:rPr>
                <w:rFonts w:hint="eastAsia" w:ascii="宋体" w:hAnsi="宋体" w:cs="宋体"/>
                <w:b w:val="0"/>
                <w:bCs/>
                <w:color w:val="000000"/>
                <w:kern w:val="0"/>
                <w:sz w:val="24"/>
                <w:szCs w:val="24"/>
                <w:lang w:val="en-US" w:eastAsia="zh-CN" w:bidi="ar-AE"/>
              </w:rPr>
              <w:t>鼎元资产</w:t>
            </w:r>
            <w:r>
              <w:rPr>
                <w:rFonts w:hint="eastAsia" w:ascii="宋体" w:hAnsi="宋体" w:eastAsia="宋体" w:cs="宋体"/>
                <w:kern w:val="0"/>
                <w:sz w:val="24"/>
                <w:szCs w:val="24"/>
                <w:lang w:val="en-US" w:eastAsia="zh-CN" w:bidi="ar-AE"/>
              </w:rPr>
              <w:t>持有</w:t>
            </w:r>
            <w:r>
              <w:rPr>
                <w:rFonts w:hint="eastAsia" w:ascii="宋体" w:hAnsi="宋体" w:eastAsia="宋体" w:cs="宋体"/>
                <w:b w:val="0"/>
                <w:bCs/>
                <w:color w:val="000000"/>
                <w:kern w:val="0"/>
                <w:sz w:val="24"/>
                <w:szCs w:val="24"/>
                <w:lang w:val="en-US" w:eastAsia="zh-CN" w:bidi="ar-AE"/>
              </w:rPr>
              <w:t>龙悦湾</w:t>
            </w:r>
            <w:r>
              <w:rPr>
                <w:rFonts w:hint="eastAsia" w:ascii="宋体" w:hAnsi="宋体" w:cs="宋体"/>
                <w:kern w:val="0"/>
                <w:sz w:val="24"/>
                <w:szCs w:val="24"/>
                <w:lang w:val="en-US" w:eastAsia="zh-CN" w:bidi="ar-AE"/>
              </w:rPr>
              <w:t>82.1</w:t>
            </w:r>
            <w:r>
              <w:rPr>
                <w:rFonts w:hint="eastAsia" w:ascii="宋体" w:hAnsi="宋体" w:eastAsia="宋体" w:cs="宋体"/>
                <w:kern w:val="0"/>
                <w:sz w:val="24"/>
                <w:szCs w:val="24"/>
                <w:lang w:val="en-GB" w:eastAsia="zh-CN" w:bidi="ar-AE"/>
              </w:rPr>
              <w:t>%的</w:t>
            </w:r>
            <w:r>
              <w:rPr>
                <w:rFonts w:hint="eastAsia" w:ascii="宋体" w:hAnsi="宋体" w:cs="宋体"/>
                <w:kern w:val="0"/>
                <w:sz w:val="24"/>
                <w:szCs w:val="24"/>
                <w:lang w:val="en-US" w:eastAsia="zh-CN" w:bidi="ar-AE"/>
              </w:rPr>
              <w:t>股权</w:t>
            </w:r>
            <w:r>
              <w:rPr>
                <w:rFonts w:hint="eastAsia" w:ascii="宋体" w:hAnsi="宋体" w:eastAsia="宋体" w:cs="宋体"/>
                <w:kern w:val="0"/>
                <w:sz w:val="24"/>
                <w:szCs w:val="24"/>
                <w:lang w:val="en-GB" w:eastAsia="zh-CN" w:bidi="ar-AE"/>
              </w:rPr>
              <w:t>，单独控制</w:t>
            </w:r>
            <w:r>
              <w:rPr>
                <w:rFonts w:hint="eastAsia" w:ascii="宋体" w:hAnsi="宋体" w:eastAsia="宋体" w:cs="宋体"/>
                <w:b w:val="0"/>
                <w:bCs/>
                <w:color w:val="000000"/>
                <w:kern w:val="0"/>
                <w:sz w:val="24"/>
                <w:szCs w:val="24"/>
                <w:lang w:val="en-US" w:eastAsia="zh-CN" w:bidi="ar-AE"/>
              </w:rPr>
              <w:t>龙悦湾</w:t>
            </w:r>
            <w:r>
              <w:rPr>
                <w:rFonts w:hint="eastAsia" w:ascii="宋体" w:hAnsi="宋体" w:eastAsia="宋体" w:cs="宋体"/>
                <w:kern w:val="0"/>
                <w:sz w:val="24"/>
                <w:szCs w:val="24"/>
                <w:lang w:val="en-GB" w:eastAsia="zh-CN" w:bidi="ar-AE"/>
              </w:rPr>
              <w:t>。交易后，</w:t>
            </w:r>
            <w:r>
              <w:rPr>
                <w:rFonts w:hint="eastAsia" w:ascii="宋体" w:hAnsi="宋体" w:eastAsia="宋体" w:cs="宋体"/>
                <w:b w:val="0"/>
                <w:bCs/>
                <w:color w:val="000000"/>
                <w:kern w:val="0"/>
                <w:sz w:val="24"/>
                <w:szCs w:val="24"/>
                <w:lang w:val="en-US" w:eastAsia="zh-CN" w:bidi="ar-AE"/>
              </w:rPr>
              <w:t>佛山越汇</w:t>
            </w:r>
            <w:r>
              <w:rPr>
                <w:rFonts w:hint="eastAsia" w:ascii="宋体" w:hAnsi="宋体" w:cs="宋体"/>
                <w:b w:val="0"/>
                <w:bCs/>
                <w:color w:val="000000"/>
                <w:kern w:val="0"/>
                <w:sz w:val="24"/>
                <w:szCs w:val="24"/>
                <w:lang w:val="en-US" w:eastAsia="zh-CN" w:bidi="ar-AE"/>
              </w:rPr>
              <w:t>、鼎元资产</w:t>
            </w:r>
            <w:r>
              <w:rPr>
                <w:rFonts w:hint="eastAsia" w:ascii="宋体" w:hAnsi="宋体" w:eastAsia="宋体" w:cs="宋体"/>
                <w:kern w:val="0"/>
                <w:sz w:val="24"/>
                <w:szCs w:val="24"/>
                <w:lang w:val="en-GB" w:eastAsia="zh-CN" w:bidi="ar-AE"/>
              </w:rPr>
              <w:t>将</w:t>
            </w:r>
            <w:r>
              <w:rPr>
                <w:rFonts w:hint="eastAsia" w:ascii="宋体" w:hAnsi="宋体" w:cs="宋体"/>
                <w:kern w:val="0"/>
                <w:sz w:val="24"/>
                <w:szCs w:val="24"/>
                <w:lang w:val="en-US" w:eastAsia="zh-CN" w:bidi="ar-AE"/>
              </w:rPr>
              <w:t>分别</w:t>
            </w:r>
            <w:r>
              <w:rPr>
                <w:rFonts w:hint="eastAsia" w:ascii="宋体" w:hAnsi="宋体" w:eastAsia="宋体" w:cs="宋体"/>
                <w:kern w:val="0"/>
                <w:sz w:val="24"/>
                <w:szCs w:val="24"/>
                <w:lang w:val="en-GB" w:eastAsia="zh-CN" w:bidi="ar-AE"/>
              </w:rPr>
              <w:t>持有</w:t>
            </w:r>
            <w:r>
              <w:rPr>
                <w:rFonts w:hint="eastAsia" w:ascii="宋体" w:hAnsi="宋体" w:eastAsia="宋体" w:cs="宋体"/>
                <w:b w:val="0"/>
                <w:bCs/>
                <w:color w:val="000000"/>
                <w:kern w:val="0"/>
                <w:sz w:val="24"/>
                <w:szCs w:val="24"/>
                <w:lang w:val="en-US" w:eastAsia="zh-CN" w:bidi="ar-AE"/>
              </w:rPr>
              <w:t>龙悦湾53%</w:t>
            </w:r>
            <w:r>
              <w:rPr>
                <w:rFonts w:hint="eastAsia" w:ascii="宋体" w:hAnsi="宋体" w:cs="宋体"/>
                <w:b w:val="0"/>
                <w:bCs/>
                <w:color w:val="000000"/>
                <w:kern w:val="0"/>
                <w:sz w:val="24"/>
                <w:szCs w:val="24"/>
                <w:lang w:val="en-US" w:eastAsia="zh-CN" w:bidi="ar-AE"/>
              </w:rPr>
              <w:t>和</w:t>
            </w:r>
            <w:r>
              <w:rPr>
                <w:rFonts w:hint="eastAsia" w:ascii="宋体" w:hAnsi="宋体" w:eastAsia="宋体" w:cs="宋体"/>
                <w:b w:val="0"/>
                <w:bCs/>
                <w:color w:val="000000"/>
                <w:kern w:val="0"/>
                <w:sz w:val="24"/>
                <w:szCs w:val="24"/>
                <w:lang w:val="en-US" w:eastAsia="zh-CN" w:bidi="ar-AE"/>
              </w:rPr>
              <w:t>38.59%</w:t>
            </w:r>
            <w:r>
              <w:rPr>
                <w:rFonts w:hint="eastAsia" w:ascii="宋体" w:hAnsi="宋体" w:eastAsia="宋体" w:cs="宋体"/>
                <w:kern w:val="0"/>
                <w:sz w:val="24"/>
                <w:szCs w:val="24"/>
                <w:lang w:val="en-GB" w:eastAsia="zh-CN" w:bidi="ar-AE"/>
              </w:rPr>
              <w:t>的</w:t>
            </w:r>
            <w:r>
              <w:rPr>
                <w:rFonts w:hint="eastAsia" w:ascii="宋体" w:hAnsi="宋体" w:cs="宋体"/>
                <w:kern w:val="0"/>
                <w:sz w:val="24"/>
                <w:szCs w:val="24"/>
                <w:lang w:val="en-US" w:eastAsia="zh-CN" w:bidi="ar-AE"/>
              </w:rPr>
              <w:t>股权</w:t>
            </w:r>
            <w:r>
              <w:rPr>
                <w:rFonts w:hint="eastAsia" w:ascii="宋体" w:hAnsi="宋体" w:eastAsia="宋体" w:cs="宋体"/>
                <w:kern w:val="0"/>
                <w:sz w:val="24"/>
                <w:szCs w:val="24"/>
                <w:lang w:val="en-GB" w:eastAsia="zh-CN" w:bidi="ar-AE"/>
              </w:rPr>
              <w:t>，</w:t>
            </w:r>
            <w:r>
              <w:rPr>
                <w:rFonts w:hint="eastAsia" w:ascii="宋体" w:hAnsi="宋体" w:eastAsia="宋体" w:cs="宋体"/>
                <w:b w:val="0"/>
                <w:bCs/>
                <w:color w:val="000000"/>
                <w:kern w:val="0"/>
                <w:sz w:val="24"/>
                <w:szCs w:val="24"/>
                <w:lang w:val="en-US" w:eastAsia="zh-CN" w:bidi="ar-AE"/>
              </w:rPr>
              <w:t>共同控制龙悦湾</w:t>
            </w:r>
            <w:r>
              <w:rPr>
                <w:rFonts w:hint="eastAsia" w:ascii="宋体" w:hAnsi="宋体" w:eastAsia="宋体" w:cs="宋体"/>
                <w:kern w:val="0"/>
                <w:sz w:val="24"/>
                <w:szCs w:val="24"/>
                <w:lang w:val="en-GB" w:eastAsia="zh-CN"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r>
              <w:rPr>
                <w:rFonts w:hint="eastAsia" w:ascii="宋体" w:hAnsi="宋体" w:eastAsia="宋体" w:cs="宋体"/>
                <w:b w:val="0"/>
                <w:bCs/>
                <w:color w:val="000000"/>
                <w:kern w:val="0"/>
                <w:sz w:val="24"/>
                <w:szCs w:val="24"/>
                <w:lang w:val="en-GB" w:eastAsia="zh-CN"/>
              </w:rPr>
              <w:t>参与集中的经营者简介（每个限</w:t>
            </w:r>
            <w:r>
              <w:rPr>
                <w:rFonts w:hint="default" w:ascii="宋体" w:hAnsi="宋体" w:eastAsia="宋体" w:cs="宋体"/>
                <w:b w:val="0"/>
                <w:bCs/>
                <w:color w:val="000000"/>
                <w:kern w:val="0"/>
                <w:sz w:val="24"/>
                <w:szCs w:val="24"/>
                <w:lang w:val="en-US" w:eastAsia="zh-CN"/>
              </w:rPr>
              <w:t>100</w:t>
            </w:r>
            <w:r>
              <w:rPr>
                <w:rFonts w:hint="eastAsia" w:ascii="宋体" w:hAnsi="宋体" w:eastAsia="宋体" w:cs="宋体"/>
                <w:b w:val="0"/>
                <w:bCs/>
                <w:color w:val="000000"/>
                <w:kern w:val="0"/>
                <w:sz w:val="24"/>
                <w:szCs w:val="24"/>
                <w:lang w:val="en-US" w:eastAsia="zh-CN"/>
              </w:rPr>
              <w:t>字以内</w:t>
            </w:r>
            <w:r>
              <w:rPr>
                <w:rFonts w:hint="eastAsia" w:ascii="宋体" w:hAnsi="宋体" w:eastAsia="宋体" w:cs="宋体"/>
                <w:b w:val="0"/>
                <w:bCs/>
                <w:color w:val="000000"/>
                <w:kern w:val="0"/>
                <w:sz w:val="24"/>
                <w:szCs w:val="24"/>
                <w:lang w:val="en-GB" w:eastAsia="zh-CN"/>
              </w:rPr>
              <w:t>）</w:t>
            </w:r>
          </w:p>
        </w:tc>
        <w:tc>
          <w:tcPr>
            <w:tcW w:w="1607" w:type="dxa"/>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GB" w:eastAsia="zh-CN" w:bidi="ar-AE"/>
              </w:rPr>
            </w:pPr>
            <w:r>
              <w:rPr>
                <w:rFonts w:hint="eastAsia" w:ascii="宋体" w:hAnsi="宋体" w:eastAsia="宋体" w:cs="宋体"/>
                <w:b w:val="0"/>
                <w:bCs/>
                <w:color w:val="000000"/>
                <w:kern w:val="0"/>
                <w:sz w:val="24"/>
                <w:szCs w:val="24"/>
                <w:lang w:val="en-US" w:eastAsia="zh-CN" w:bidi="ar-AE"/>
              </w:rPr>
              <w:t>1.佛山越汇</w:t>
            </w:r>
          </w:p>
        </w:tc>
        <w:tc>
          <w:tcPr>
            <w:tcW w:w="6093" w:type="dxa"/>
            <w:noWrap w:val="0"/>
            <w:vAlign w:val="center"/>
          </w:tcPr>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GB" w:eastAsia="zh-CN" w:bidi="ar-AE"/>
              </w:rPr>
            </w:pPr>
            <w:r>
              <w:rPr>
                <w:rFonts w:hint="eastAsia" w:ascii="宋体" w:hAnsi="宋体" w:eastAsia="宋体" w:cs="宋体"/>
                <w:b w:val="0"/>
                <w:bCs/>
                <w:color w:val="000000"/>
                <w:kern w:val="0"/>
                <w:sz w:val="24"/>
                <w:szCs w:val="24"/>
                <w:lang w:val="en-US" w:eastAsia="zh-CN" w:bidi="ar-AE"/>
              </w:rPr>
              <w:t>佛山越汇</w:t>
            </w:r>
            <w:r>
              <w:rPr>
                <w:rFonts w:hint="eastAsia" w:ascii="宋体" w:hAnsi="宋体" w:eastAsia="宋体" w:cs="宋体"/>
                <w:b w:val="0"/>
                <w:bCs/>
                <w:color w:val="000000"/>
                <w:kern w:val="0"/>
                <w:sz w:val="24"/>
                <w:szCs w:val="24"/>
                <w:lang w:val="en-GB" w:eastAsia="zh-CN" w:bidi="ar-AE"/>
              </w:rPr>
              <w:t>于2017年10月23日成立于广东省</w:t>
            </w:r>
            <w:r>
              <w:rPr>
                <w:rFonts w:hint="eastAsia" w:ascii="宋体" w:hAnsi="宋体" w:cs="宋体"/>
                <w:b w:val="0"/>
                <w:bCs/>
                <w:color w:val="000000"/>
                <w:kern w:val="0"/>
                <w:sz w:val="24"/>
                <w:szCs w:val="24"/>
                <w:lang w:val="en-US" w:eastAsia="zh-CN" w:bidi="ar-AE"/>
              </w:rPr>
              <w:t>佛山</w:t>
            </w:r>
            <w:r>
              <w:rPr>
                <w:rFonts w:hint="eastAsia" w:ascii="宋体" w:hAnsi="宋体" w:eastAsia="宋体" w:cs="宋体"/>
                <w:b w:val="0"/>
                <w:bCs/>
                <w:color w:val="000000"/>
                <w:kern w:val="0"/>
                <w:sz w:val="24"/>
                <w:szCs w:val="24"/>
                <w:lang w:val="en-GB" w:eastAsia="zh-CN" w:bidi="ar-AE"/>
              </w:rPr>
              <w:t>市，主要</w:t>
            </w:r>
            <w:r>
              <w:rPr>
                <w:rFonts w:hint="eastAsia" w:ascii="宋体" w:hAnsi="宋体" w:cs="宋体"/>
                <w:b w:val="0"/>
                <w:bCs/>
                <w:color w:val="000000"/>
                <w:kern w:val="0"/>
                <w:sz w:val="24"/>
                <w:szCs w:val="24"/>
                <w:lang w:val="en-US" w:eastAsia="zh-CN" w:bidi="ar-AE"/>
              </w:rPr>
              <w:t>业务为房地产开发、销售</w:t>
            </w:r>
            <w:r>
              <w:rPr>
                <w:rFonts w:hint="eastAsia" w:ascii="宋体" w:hAnsi="宋体" w:eastAsia="宋体" w:cs="宋体"/>
                <w:b w:val="0"/>
                <w:bCs/>
                <w:color w:val="000000"/>
                <w:kern w:val="0"/>
                <w:sz w:val="24"/>
                <w:szCs w:val="24"/>
                <w:lang w:val="en-GB" w:eastAsia="zh-CN" w:bidi="ar-AE"/>
              </w:rPr>
              <w:t>。</w:t>
            </w:r>
          </w:p>
          <w:p>
            <w:pPr>
              <w:pStyle w:val="5"/>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佛山越汇</w:t>
            </w:r>
            <w:r>
              <w:rPr>
                <w:rFonts w:hint="eastAsia" w:ascii="宋体" w:hAnsi="宋体" w:cs="宋体"/>
                <w:b w:val="0"/>
                <w:bCs/>
                <w:color w:val="000000"/>
                <w:kern w:val="0"/>
                <w:sz w:val="24"/>
                <w:szCs w:val="24"/>
                <w:lang w:val="en-US" w:eastAsia="zh-CN" w:bidi="ar-AE"/>
              </w:rPr>
              <w:t>的</w:t>
            </w:r>
            <w:r>
              <w:rPr>
                <w:rFonts w:hint="eastAsia" w:ascii="宋体" w:hAnsi="宋体" w:eastAsia="宋体" w:cs="宋体"/>
                <w:b w:val="0"/>
                <w:bCs/>
                <w:color w:val="000000"/>
                <w:kern w:val="0"/>
                <w:sz w:val="24"/>
                <w:szCs w:val="24"/>
                <w:lang w:val="en-US" w:eastAsia="zh-CN" w:bidi="ar-AE"/>
              </w:rPr>
              <w:t>最终控制人为广州越秀集团股份有限公司，主要业务为金融、房地产</w:t>
            </w:r>
            <w:r>
              <w:rPr>
                <w:rFonts w:hint="eastAsia" w:ascii="宋体" w:hAnsi="宋体" w:cs="宋体"/>
                <w:b w:val="0"/>
                <w:bCs/>
                <w:color w:val="000000"/>
                <w:kern w:val="0"/>
                <w:sz w:val="24"/>
                <w:szCs w:val="24"/>
                <w:lang w:val="en-US" w:eastAsia="zh-CN" w:bidi="ar-AE"/>
              </w:rPr>
              <w:t>开发</w:t>
            </w:r>
            <w:r>
              <w:rPr>
                <w:rFonts w:hint="eastAsia" w:ascii="宋体" w:hAnsi="宋体" w:eastAsia="宋体" w:cs="宋体"/>
                <w:b w:val="0"/>
                <w:bCs/>
                <w:color w:val="000000"/>
                <w:kern w:val="0"/>
                <w:sz w:val="24"/>
                <w:szCs w:val="24"/>
                <w:lang w:val="en-US" w:eastAsia="zh-CN" w:bidi="ar-AE"/>
              </w:rPr>
              <w:t>、交通基建、食品、造纸。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1607" w:type="dxa"/>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GB" w:eastAsia="zh-CN" w:bidi="ar-AE"/>
              </w:rPr>
            </w:pPr>
            <w:r>
              <w:rPr>
                <w:rFonts w:hint="eastAsia" w:ascii="宋体" w:hAnsi="宋体" w:eastAsia="宋体" w:cs="宋体"/>
                <w:b w:val="0"/>
                <w:bCs/>
                <w:color w:val="000000"/>
                <w:kern w:val="0"/>
                <w:sz w:val="24"/>
                <w:szCs w:val="24"/>
                <w:lang w:val="en-US" w:eastAsia="zh-CN" w:bidi="ar-AE"/>
              </w:rPr>
              <w:t>2.</w:t>
            </w:r>
            <w:r>
              <w:rPr>
                <w:rFonts w:hint="eastAsia" w:ascii="宋体" w:hAnsi="宋体" w:cs="宋体"/>
                <w:b w:val="0"/>
                <w:bCs/>
                <w:color w:val="000000"/>
                <w:kern w:val="0"/>
                <w:sz w:val="24"/>
                <w:szCs w:val="24"/>
                <w:lang w:val="en-US" w:eastAsia="zh-CN" w:bidi="ar-AE"/>
              </w:rPr>
              <w:t>鼎元资产</w:t>
            </w:r>
          </w:p>
        </w:tc>
        <w:tc>
          <w:tcPr>
            <w:tcW w:w="6093" w:type="dxa"/>
            <w:noWrap w:val="0"/>
            <w:vAlign w:val="center"/>
          </w:tcPr>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GB" w:eastAsia="zh-CN" w:bidi="ar-AE"/>
              </w:rPr>
            </w:pPr>
            <w:r>
              <w:rPr>
                <w:rFonts w:hint="eastAsia" w:ascii="宋体" w:hAnsi="宋体" w:cs="宋体"/>
                <w:b w:val="0"/>
                <w:bCs/>
                <w:color w:val="000000"/>
                <w:kern w:val="0"/>
                <w:sz w:val="24"/>
                <w:szCs w:val="24"/>
                <w:lang w:val="en-US" w:eastAsia="zh-CN" w:bidi="ar-AE"/>
              </w:rPr>
              <w:t>鼎元资产</w:t>
            </w:r>
            <w:r>
              <w:rPr>
                <w:rFonts w:hint="eastAsia" w:ascii="宋体" w:hAnsi="宋体" w:eastAsia="宋体" w:cs="宋体"/>
                <w:b w:val="0"/>
                <w:bCs/>
                <w:color w:val="000000"/>
                <w:kern w:val="0"/>
                <w:sz w:val="24"/>
                <w:szCs w:val="24"/>
                <w:lang w:val="en-GB" w:eastAsia="zh-CN" w:bidi="ar-AE"/>
              </w:rPr>
              <w:t>于2017年3月15日成立于广东省广州市，主要</w:t>
            </w:r>
            <w:r>
              <w:rPr>
                <w:rFonts w:hint="eastAsia" w:ascii="宋体" w:hAnsi="宋体" w:cs="宋体"/>
                <w:b w:val="0"/>
                <w:bCs/>
                <w:color w:val="000000"/>
                <w:kern w:val="0"/>
                <w:sz w:val="24"/>
                <w:szCs w:val="24"/>
                <w:lang w:val="en-US" w:eastAsia="zh-CN" w:bidi="ar-AE"/>
              </w:rPr>
              <w:t>业务为资产经营及处置</w:t>
            </w:r>
            <w:r>
              <w:rPr>
                <w:rFonts w:hint="eastAsia" w:ascii="宋体" w:hAnsi="宋体" w:eastAsia="宋体" w:cs="宋体"/>
                <w:b w:val="0"/>
                <w:bCs/>
                <w:color w:val="000000"/>
                <w:kern w:val="0"/>
                <w:sz w:val="24"/>
                <w:szCs w:val="24"/>
                <w:lang w:val="en-GB" w:eastAsia="zh-CN" w:bidi="ar-AE"/>
              </w:rPr>
              <w:t>。</w:t>
            </w:r>
          </w:p>
          <w:p>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GB" w:eastAsia="zh-CN" w:bidi="ar-AE"/>
              </w:rPr>
            </w:pPr>
            <w:r>
              <w:rPr>
                <w:rFonts w:hint="eastAsia" w:ascii="宋体" w:hAnsi="宋体" w:cs="宋体"/>
                <w:b w:val="0"/>
                <w:bCs/>
                <w:color w:val="000000"/>
                <w:kern w:val="0"/>
                <w:sz w:val="24"/>
                <w:szCs w:val="24"/>
                <w:lang w:val="en-US" w:eastAsia="zh-CN" w:bidi="ar-AE"/>
              </w:rPr>
              <w:t>鼎元资产</w:t>
            </w:r>
            <w:r>
              <w:rPr>
                <w:rFonts w:hint="eastAsia" w:ascii="宋体" w:hAnsi="宋体" w:eastAsia="宋体" w:cs="宋体"/>
                <w:b w:val="0"/>
                <w:bCs/>
                <w:color w:val="000000"/>
                <w:kern w:val="0"/>
                <w:sz w:val="24"/>
                <w:szCs w:val="24"/>
                <w:lang w:val="en-GB" w:eastAsia="zh-CN" w:bidi="ar-AE"/>
              </w:rPr>
              <w:t>的最终控制人为中国南方电网有限责任公司，主要从事南方五省区电力供应、区域电网管理、电力交易与调度业务。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r>
              <w:rPr>
                <w:rFonts w:hint="eastAsia" w:ascii="宋体" w:hAnsi="宋体" w:eastAsia="宋体" w:cs="宋体"/>
                <w:b w:val="0"/>
                <w:bCs/>
                <w:color w:val="000000"/>
                <w:kern w:val="0"/>
                <w:sz w:val="24"/>
                <w:szCs w:val="24"/>
                <w:lang w:val="en-GB" w:eastAsia="zh-CN"/>
              </w:rPr>
              <w:t>简易案件理由（可以单选，也可以多选）</w:t>
            </w: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1</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在同一相关市场，参与集中的经营者所占的市场份额之和小于15%。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2</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在上下游市场，参与集中的经营者所占的市场份额均小于25%。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FE"/>
            </w:r>
            <w:r>
              <w:rPr>
                <w:rFonts w:hint="eastAsia" w:ascii="宋体" w:hAnsi="宋体" w:eastAsia="宋体" w:cs="宋体"/>
                <w:b w:val="0"/>
                <w:bCs/>
                <w:color w:val="000000"/>
                <w:kern w:val="0"/>
                <w:sz w:val="24"/>
                <w:szCs w:val="24"/>
                <w:lang w:val="en-GB" w:eastAsia="zh-CN" w:bidi="ar-AE"/>
              </w:rPr>
              <w:t xml:space="preserve"> 3</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不在同一相关市场也不存在上下游关系的参与集中的经营者，在与交易有关的每个市场所占的市场份额均小于25%。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4</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5</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GB" w:eastAsia="zh-CN" w:bidi="ar-AE"/>
              </w:rPr>
              <w:sym w:font="Wingdings" w:char="00A8"/>
            </w:r>
            <w:r>
              <w:rPr>
                <w:rFonts w:hint="eastAsia" w:ascii="宋体" w:hAnsi="宋体" w:eastAsia="宋体" w:cs="宋体"/>
                <w:b w:val="0"/>
                <w:bCs/>
                <w:color w:val="000000"/>
                <w:kern w:val="0"/>
                <w:sz w:val="24"/>
                <w:szCs w:val="24"/>
                <w:lang w:val="en-GB" w:eastAsia="zh-CN" w:bidi="ar-AE"/>
              </w:rPr>
              <w:t xml:space="preserve"> 6</w:t>
            </w:r>
            <w:r>
              <w:rPr>
                <w:rFonts w:hint="eastAsia" w:ascii="宋体" w:hAnsi="宋体" w:eastAsia="宋体" w:cs="宋体"/>
                <w:b w:val="0"/>
                <w:bCs/>
                <w:color w:val="000000"/>
                <w:kern w:val="0"/>
                <w:sz w:val="24"/>
                <w:szCs w:val="24"/>
                <w:lang w:val="en-US" w:eastAsia="zh-CN" w:bidi="ar-AE"/>
              </w:rPr>
              <w:t>.</w:t>
            </w:r>
            <w:r>
              <w:rPr>
                <w:rFonts w:hint="eastAsia" w:ascii="宋体" w:hAnsi="宋体" w:eastAsia="宋体" w:cs="宋体"/>
                <w:b w:val="0"/>
                <w:bCs/>
                <w:color w:val="000000"/>
                <w:kern w:val="0"/>
                <w:sz w:val="24"/>
                <w:szCs w:val="24"/>
                <w:lang w:val="en-GB" w:eastAsia="zh-CN" w:bidi="ar-AE"/>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rPr>
            </w:pPr>
            <w:r>
              <w:rPr>
                <w:rFonts w:hint="eastAsia" w:ascii="宋体" w:hAnsi="宋体" w:eastAsia="宋体" w:cs="宋体"/>
                <w:b w:val="0"/>
                <w:bCs/>
                <w:color w:val="000000"/>
                <w:kern w:val="0"/>
                <w:sz w:val="24"/>
                <w:szCs w:val="24"/>
                <w:lang w:val="en-US" w:eastAsia="zh-CN"/>
              </w:rPr>
              <w:t>备注</w:t>
            </w:r>
          </w:p>
        </w:tc>
        <w:tc>
          <w:tcPr>
            <w:tcW w:w="7700" w:type="dxa"/>
            <w:gridSpan w:val="2"/>
            <w:noWrap w:val="0"/>
            <w:vAlign w:val="center"/>
          </w:tcPr>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bCs w:val="0"/>
                <w:color w:val="000000"/>
                <w:kern w:val="0"/>
                <w:sz w:val="24"/>
                <w:szCs w:val="24"/>
                <w:lang w:val="en-GB" w:eastAsia="zh-CN" w:bidi="ar-AE"/>
              </w:rPr>
            </w:pPr>
            <w:r>
              <w:rPr>
                <w:rFonts w:hint="eastAsia" w:ascii="宋体" w:hAnsi="宋体" w:cs="宋体"/>
                <w:b/>
                <w:bCs w:val="0"/>
                <w:color w:val="000000"/>
                <w:kern w:val="0"/>
                <w:sz w:val="24"/>
                <w:szCs w:val="24"/>
                <w:lang w:val="en-US" w:eastAsia="zh-CN" w:bidi="ar-AE"/>
              </w:rPr>
              <w:t>混合集中</w:t>
            </w:r>
            <w:r>
              <w:rPr>
                <w:rFonts w:hint="eastAsia" w:ascii="宋体" w:hAnsi="宋体" w:eastAsia="宋体" w:cs="宋体"/>
                <w:b/>
                <w:bCs w:val="0"/>
                <w:color w:val="000000"/>
                <w:kern w:val="0"/>
                <w:sz w:val="24"/>
                <w:szCs w:val="24"/>
                <w:lang w:val="en-GB" w:eastAsia="zh-CN" w:bidi="ar-AE"/>
              </w:rPr>
              <w:t>：</w:t>
            </w:r>
          </w:p>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2023</w:t>
            </w:r>
            <w:r>
              <w:rPr>
                <w:rFonts w:hint="eastAsia" w:ascii="宋体" w:hAnsi="宋体" w:eastAsia="宋体" w:cs="宋体"/>
                <w:b w:val="0"/>
                <w:bCs/>
                <w:color w:val="000000"/>
                <w:kern w:val="0"/>
                <w:sz w:val="24"/>
                <w:szCs w:val="24"/>
                <w:lang w:val="en-US" w:eastAsia="zh-CN" w:bidi="ar-AE"/>
              </w:rPr>
              <w:t>年</w:t>
            </w:r>
            <w:r>
              <w:rPr>
                <w:rFonts w:hint="eastAsia" w:ascii="宋体" w:hAnsi="宋体" w:cs="宋体"/>
                <w:b w:val="0"/>
                <w:bCs/>
                <w:color w:val="000000"/>
                <w:kern w:val="0"/>
                <w:sz w:val="24"/>
                <w:szCs w:val="24"/>
                <w:lang w:val="en-US" w:eastAsia="zh-CN" w:bidi="ar-AE"/>
              </w:rPr>
              <w:t>佛山市商品住宅开发和销售市场</w:t>
            </w:r>
            <w:r>
              <w:rPr>
                <w:rFonts w:hint="eastAsia" w:ascii="宋体" w:hAnsi="宋体" w:eastAsia="宋体" w:cs="宋体"/>
                <w:b w:val="0"/>
                <w:bCs/>
                <w:color w:val="000000"/>
                <w:kern w:val="0"/>
                <w:sz w:val="24"/>
                <w:szCs w:val="24"/>
                <w:lang w:val="en-US" w:eastAsia="zh-CN" w:bidi="ar-AE"/>
              </w:rPr>
              <w:t>:</w:t>
            </w:r>
          </w:p>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佛山越汇（及其关联实体）</w:t>
            </w:r>
            <w:r>
              <w:rPr>
                <w:rFonts w:hint="eastAsia" w:ascii="宋体" w:hAnsi="宋体" w:eastAsia="宋体" w:cs="宋体"/>
                <w:b w:val="0"/>
                <w:bCs/>
                <w:color w:val="000000"/>
                <w:kern w:val="0"/>
                <w:sz w:val="24"/>
                <w:szCs w:val="24"/>
                <w:lang w:val="en-US" w:eastAsia="zh-CN" w:bidi="ar-AE"/>
              </w:rPr>
              <w:t>：0-5%</w:t>
            </w:r>
          </w:p>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2023</w:t>
            </w:r>
            <w:r>
              <w:rPr>
                <w:rFonts w:hint="eastAsia" w:ascii="宋体" w:hAnsi="宋体" w:eastAsia="宋体" w:cs="宋体"/>
                <w:b w:val="0"/>
                <w:bCs/>
                <w:color w:val="000000"/>
                <w:kern w:val="0"/>
                <w:sz w:val="24"/>
                <w:szCs w:val="24"/>
                <w:lang w:val="en-US" w:eastAsia="zh-CN" w:bidi="ar-AE"/>
              </w:rPr>
              <w:t>年</w:t>
            </w:r>
            <w:r>
              <w:rPr>
                <w:rFonts w:hint="eastAsia" w:ascii="宋体" w:hAnsi="宋体" w:cs="宋体"/>
                <w:b w:val="0"/>
                <w:bCs/>
                <w:color w:val="000000"/>
                <w:kern w:val="0"/>
                <w:sz w:val="24"/>
                <w:szCs w:val="24"/>
                <w:lang w:val="en-US" w:eastAsia="zh-CN" w:bidi="ar-AE"/>
              </w:rPr>
              <w:t>佛山市住宅物业管理服务市场</w:t>
            </w:r>
            <w:r>
              <w:rPr>
                <w:rFonts w:hint="eastAsia" w:ascii="宋体" w:hAnsi="宋体" w:eastAsia="宋体" w:cs="宋体"/>
                <w:b w:val="0"/>
                <w:bCs/>
                <w:color w:val="000000"/>
                <w:kern w:val="0"/>
                <w:sz w:val="24"/>
                <w:szCs w:val="24"/>
                <w:lang w:val="en-US" w:eastAsia="zh-CN" w:bidi="ar-AE"/>
              </w:rPr>
              <w:t>:</w:t>
            </w:r>
          </w:p>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佛山越汇（及其关联实体）</w:t>
            </w:r>
            <w:r>
              <w:rPr>
                <w:rFonts w:hint="eastAsia" w:ascii="宋体" w:hAnsi="宋体" w:eastAsia="宋体" w:cs="宋体"/>
                <w:b w:val="0"/>
                <w:bCs/>
                <w:color w:val="000000"/>
                <w:kern w:val="0"/>
                <w:sz w:val="24"/>
                <w:szCs w:val="24"/>
                <w:lang w:val="en-US" w:eastAsia="zh-CN" w:bidi="ar-AE"/>
              </w:rPr>
              <w:t>：0-5</w:t>
            </w:r>
            <w:r>
              <w:rPr>
                <w:rFonts w:hint="eastAsia" w:ascii="宋体" w:hAnsi="宋体" w:cs="宋体"/>
                <w:b w:val="0"/>
                <w:bCs/>
                <w:color w:val="000000"/>
                <w:kern w:val="0"/>
                <w:sz w:val="24"/>
                <w:szCs w:val="24"/>
                <w:lang w:val="en-US" w:eastAsia="zh-CN" w:bidi="ar-AE"/>
              </w:rPr>
              <w:t>%</w:t>
            </w:r>
          </w:p>
          <w:p>
            <w:pPr>
              <w:pStyle w:val="5"/>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cs="宋体"/>
                <w:b w:val="0"/>
                <w:bCs/>
                <w:color w:val="000000"/>
                <w:kern w:val="0"/>
                <w:sz w:val="24"/>
                <w:szCs w:val="24"/>
                <w:lang w:val="en-US" w:eastAsia="zh-CN" w:bidi="ar-AE"/>
              </w:rPr>
            </w:pPr>
          </w:p>
        </w:tc>
      </w:tr>
    </w:tbl>
    <w:p>
      <w:pPr>
        <w:adjustRightInd w:val="0"/>
        <w:snapToGrid w:val="0"/>
        <w:rPr>
          <w:rFonts w:hint="default" w:ascii="Times New Roman" w:hAnsi="Times New Roman" w:cs="Times New Roman" w:eastAsiaTheme="minorEastAsia"/>
        </w:rPr>
      </w:pPr>
    </w:p>
    <w:p>
      <w:pPr>
        <w:rPr>
          <w:rFonts w:hint="default" w:ascii="Times New Roman" w:hAnsi="Times New Roman" w:cs="Times New Roman" w:eastAsiaTheme="minorEastAsia"/>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false"/>
  <w:bordersDoNotSurroundFooter w:val="fals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900485"/>
    <w:rsid w:val="08D6542E"/>
    <w:rsid w:val="08ED34FD"/>
    <w:rsid w:val="093446A7"/>
    <w:rsid w:val="0AF22185"/>
    <w:rsid w:val="0B1835C3"/>
    <w:rsid w:val="0B63273E"/>
    <w:rsid w:val="0BD91CE7"/>
    <w:rsid w:val="0C6B60D7"/>
    <w:rsid w:val="0DE526A7"/>
    <w:rsid w:val="0E5C7E9D"/>
    <w:rsid w:val="0EEC791B"/>
    <w:rsid w:val="0F272A69"/>
    <w:rsid w:val="0FA436B7"/>
    <w:rsid w:val="0FBBC6D8"/>
    <w:rsid w:val="10C02711"/>
    <w:rsid w:val="12ED74AA"/>
    <w:rsid w:val="130B6D76"/>
    <w:rsid w:val="13236AF1"/>
    <w:rsid w:val="13D6674E"/>
    <w:rsid w:val="150C1E94"/>
    <w:rsid w:val="15D94F21"/>
    <w:rsid w:val="15E47716"/>
    <w:rsid w:val="1680064E"/>
    <w:rsid w:val="17436509"/>
    <w:rsid w:val="1AA11230"/>
    <w:rsid w:val="1B2D6269"/>
    <w:rsid w:val="1BF9394B"/>
    <w:rsid w:val="1BF9AB71"/>
    <w:rsid w:val="1C142509"/>
    <w:rsid w:val="1C361957"/>
    <w:rsid w:val="1DA24124"/>
    <w:rsid w:val="1DFE30C6"/>
    <w:rsid w:val="1FC81833"/>
    <w:rsid w:val="20C2797E"/>
    <w:rsid w:val="2107263D"/>
    <w:rsid w:val="215B059A"/>
    <w:rsid w:val="24606B41"/>
    <w:rsid w:val="246736EB"/>
    <w:rsid w:val="24840815"/>
    <w:rsid w:val="25C17900"/>
    <w:rsid w:val="261144B9"/>
    <w:rsid w:val="279572F8"/>
    <w:rsid w:val="27B435B3"/>
    <w:rsid w:val="27ED6C10"/>
    <w:rsid w:val="281C288D"/>
    <w:rsid w:val="289A6D28"/>
    <w:rsid w:val="2B282291"/>
    <w:rsid w:val="2B795B9C"/>
    <w:rsid w:val="2C0C7CCC"/>
    <w:rsid w:val="2CAC25FF"/>
    <w:rsid w:val="2ECF569F"/>
    <w:rsid w:val="2F0902B7"/>
    <w:rsid w:val="3025112D"/>
    <w:rsid w:val="319E78FD"/>
    <w:rsid w:val="339B1A7D"/>
    <w:rsid w:val="34527864"/>
    <w:rsid w:val="35243365"/>
    <w:rsid w:val="356065C1"/>
    <w:rsid w:val="35741F7B"/>
    <w:rsid w:val="35927D49"/>
    <w:rsid w:val="36647739"/>
    <w:rsid w:val="36722108"/>
    <w:rsid w:val="37736187"/>
    <w:rsid w:val="37EC4B4C"/>
    <w:rsid w:val="3A7D25F4"/>
    <w:rsid w:val="3B6C128B"/>
    <w:rsid w:val="3BF42FA2"/>
    <w:rsid w:val="3C1B3849"/>
    <w:rsid w:val="3CF8328E"/>
    <w:rsid w:val="3DBE0E38"/>
    <w:rsid w:val="3DCF2C73"/>
    <w:rsid w:val="3E3B322A"/>
    <w:rsid w:val="3EB7365E"/>
    <w:rsid w:val="3EBE2D3F"/>
    <w:rsid w:val="3ED7D01C"/>
    <w:rsid w:val="3EE73D98"/>
    <w:rsid w:val="3F960A53"/>
    <w:rsid w:val="3FFFF7A9"/>
    <w:rsid w:val="40D7777E"/>
    <w:rsid w:val="41D779C0"/>
    <w:rsid w:val="436E421B"/>
    <w:rsid w:val="43E353FE"/>
    <w:rsid w:val="45E92E66"/>
    <w:rsid w:val="46845245"/>
    <w:rsid w:val="46F216C3"/>
    <w:rsid w:val="48567BBA"/>
    <w:rsid w:val="48604985"/>
    <w:rsid w:val="48C332AF"/>
    <w:rsid w:val="49857111"/>
    <w:rsid w:val="498A72A0"/>
    <w:rsid w:val="49DD6CEB"/>
    <w:rsid w:val="4C824703"/>
    <w:rsid w:val="4CC01CF8"/>
    <w:rsid w:val="4CFD75DE"/>
    <w:rsid w:val="4D533669"/>
    <w:rsid w:val="4D611881"/>
    <w:rsid w:val="4DB67BAD"/>
    <w:rsid w:val="4DBF710D"/>
    <w:rsid w:val="4DDB0C16"/>
    <w:rsid w:val="4E585190"/>
    <w:rsid w:val="4E626EA5"/>
    <w:rsid w:val="4F7D0643"/>
    <w:rsid w:val="50CB3BDA"/>
    <w:rsid w:val="511505E7"/>
    <w:rsid w:val="5275657D"/>
    <w:rsid w:val="53701092"/>
    <w:rsid w:val="53740BBC"/>
    <w:rsid w:val="53DE53F7"/>
    <w:rsid w:val="549363D0"/>
    <w:rsid w:val="54D26C3D"/>
    <w:rsid w:val="54DD7AC9"/>
    <w:rsid w:val="55413F6A"/>
    <w:rsid w:val="558A3AEC"/>
    <w:rsid w:val="55FF4F39"/>
    <w:rsid w:val="563C0C84"/>
    <w:rsid w:val="567C47AD"/>
    <w:rsid w:val="568C7EFA"/>
    <w:rsid w:val="5721053D"/>
    <w:rsid w:val="5A320350"/>
    <w:rsid w:val="5A4E1134"/>
    <w:rsid w:val="5A8F5421"/>
    <w:rsid w:val="5AB377AC"/>
    <w:rsid w:val="5ADB7A9F"/>
    <w:rsid w:val="5B1D4C2C"/>
    <w:rsid w:val="5BDF7AA8"/>
    <w:rsid w:val="5CC770F3"/>
    <w:rsid w:val="5E606197"/>
    <w:rsid w:val="5E758AD3"/>
    <w:rsid w:val="5F5B3889"/>
    <w:rsid w:val="5F7404E1"/>
    <w:rsid w:val="5F7BBE1B"/>
    <w:rsid w:val="60B85CFA"/>
    <w:rsid w:val="61AC7C2D"/>
    <w:rsid w:val="61F32521"/>
    <w:rsid w:val="63F6661D"/>
    <w:rsid w:val="64F94FB6"/>
    <w:rsid w:val="64FF0119"/>
    <w:rsid w:val="650C61D5"/>
    <w:rsid w:val="65183212"/>
    <w:rsid w:val="65AC0421"/>
    <w:rsid w:val="67090219"/>
    <w:rsid w:val="6754015D"/>
    <w:rsid w:val="67885F66"/>
    <w:rsid w:val="67D469E8"/>
    <w:rsid w:val="685D233B"/>
    <w:rsid w:val="69C0748D"/>
    <w:rsid w:val="6A7D30C3"/>
    <w:rsid w:val="6B9261CD"/>
    <w:rsid w:val="6B9A71CB"/>
    <w:rsid w:val="6BCB1BF4"/>
    <w:rsid w:val="6BCC0CB3"/>
    <w:rsid w:val="6C45316D"/>
    <w:rsid w:val="6CBF87B4"/>
    <w:rsid w:val="6DED96DF"/>
    <w:rsid w:val="6DEFBAE0"/>
    <w:rsid w:val="6E372E5F"/>
    <w:rsid w:val="6E786ABC"/>
    <w:rsid w:val="6FDF5799"/>
    <w:rsid w:val="710A7485"/>
    <w:rsid w:val="71394751"/>
    <w:rsid w:val="72131803"/>
    <w:rsid w:val="723024E6"/>
    <w:rsid w:val="73026B48"/>
    <w:rsid w:val="73616B3C"/>
    <w:rsid w:val="74566BED"/>
    <w:rsid w:val="74CE550B"/>
    <w:rsid w:val="767FE0B3"/>
    <w:rsid w:val="76CA40F3"/>
    <w:rsid w:val="77527FDF"/>
    <w:rsid w:val="77FFCFC3"/>
    <w:rsid w:val="78410251"/>
    <w:rsid w:val="793FB7A1"/>
    <w:rsid w:val="795A6D23"/>
    <w:rsid w:val="79A73ABC"/>
    <w:rsid w:val="7A9C06E1"/>
    <w:rsid w:val="7AB91678"/>
    <w:rsid w:val="7B8F578C"/>
    <w:rsid w:val="7B9A66EF"/>
    <w:rsid w:val="7BE411F0"/>
    <w:rsid w:val="7BFFD823"/>
    <w:rsid w:val="7C527E8B"/>
    <w:rsid w:val="7C7918BC"/>
    <w:rsid w:val="7D8E8A18"/>
    <w:rsid w:val="7EBDA18C"/>
    <w:rsid w:val="7EE72273"/>
    <w:rsid w:val="7EF7CDD2"/>
    <w:rsid w:val="7F7BEB9D"/>
    <w:rsid w:val="7FBF2495"/>
    <w:rsid w:val="7FDCAB43"/>
    <w:rsid w:val="7FE91E78"/>
    <w:rsid w:val="7FFDE69B"/>
    <w:rsid w:val="9CBD0B1A"/>
    <w:rsid w:val="9EF6604C"/>
    <w:rsid w:val="A7F9C1DE"/>
    <w:rsid w:val="AF6FFF71"/>
    <w:rsid w:val="B593FB7D"/>
    <w:rsid w:val="B69F638E"/>
    <w:rsid w:val="BCB7048F"/>
    <w:rsid w:val="BF8E36EE"/>
    <w:rsid w:val="BFDFB85E"/>
    <w:rsid w:val="BFF5AD43"/>
    <w:rsid w:val="BFF739EC"/>
    <w:rsid w:val="D7FFD2F4"/>
    <w:rsid w:val="DDEFBA43"/>
    <w:rsid w:val="DEAFB90F"/>
    <w:rsid w:val="DF21B821"/>
    <w:rsid w:val="DFD76A11"/>
    <w:rsid w:val="E9F71F09"/>
    <w:rsid w:val="EAFD8D58"/>
    <w:rsid w:val="EB6C770B"/>
    <w:rsid w:val="EBCD181E"/>
    <w:rsid w:val="EF7C48A7"/>
    <w:rsid w:val="EFFFDD70"/>
    <w:rsid w:val="F1B778F1"/>
    <w:rsid w:val="F3FF743F"/>
    <w:rsid w:val="F4FF55F7"/>
    <w:rsid w:val="F7FD911C"/>
    <w:rsid w:val="F9DF2CA6"/>
    <w:rsid w:val="FB3326CC"/>
    <w:rsid w:val="FBCE4D19"/>
    <w:rsid w:val="FDBF10AA"/>
    <w:rsid w:val="FF6B92DC"/>
    <w:rsid w:val="FFBC39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link w:val="18"/>
    <w:unhideWhenUsed/>
    <w:qFormat/>
    <w:uiPriority w:val="99"/>
    <w:pPr>
      <w:spacing w:after="120"/>
    </w:p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toc 2"/>
    <w:basedOn w:val="1"/>
    <w:next w:val="1"/>
    <w:qFormat/>
    <w:uiPriority w:val="0"/>
    <w:pPr>
      <w:ind w:left="420" w:leftChars="200"/>
    </w:pPr>
    <w:rPr>
      <w:rFonts w:ascii="Times New Roman" w:hAnsi="Times New Roman" w:eastAsia="宋体"/>
      <w:sz w:val="30"/>
    </w:rPr>
  </w:style>
  <w:style w:type="paragraph" w:styleId="9">
    <w:name w:val="Body Text First Indent"/>
    <w:basedOn w:val="5"/>
    <w:qFormat/>
    <w:uiPriority w:val="0"/>
    <w:pPr>
      <w:ind w:firstLine="420" w:firstLineChars="100"/>
    </w:pPr>
  </w:style>
  <w:style w:type="table" w:styleId="11">
    <w:name w:val="Table Grid"/>
    <w:basedOn w:val="10"/>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qFormat/>
    <w:uiPriority w:val="0"/>
    <w:rPr>
      <w:rFonts w:ascii="Times New Roman" w:hAnsi="Times New Roman" w:eastAsia="宋体" w:cs="Simplified Arabic"/>
      <w:sz w:val="24"/>
      <w:szCs w:val="24"/>
      <w:lang w:val="en-GB" w:bidi="ar-AE"/>
    </w:rPr>
  </w:style>
  <w:style w:type="paragraph" w:customStyle="1" w:styleId="14">
    <w:name w:val="名称2"/>
    <w:basedOn w:val="15"/>
    <w:qFormat/>
    <w:uiPriority w:val="0"/>
    <w:pPr>
      <w:spacing w:after="312" w:afterLines="100"/>
    </w:pPr>
    <w:rPr>
      <w:b w:val="0"/>
      <w:sz w:val="20"/>
    </w:rPr>
  </w:style>
  <w:style w:type="paragraph" w:customStyle="1" w:styleId="15">
    <w:name w:val="名称"/>
    <w:basedOn w:val="1"/>
    <w:qFormat/>
    <w:uiPriority w:val="0"/>
    <w:pPr>
      <w:jc w:val="center"/>
    </w:pPr>
    <w:rPr>
      <w:b/>
      <w:kern w:val="0"/>
      <w:sz w:val="44"/>
      <w:szCs w:val="20"/>
    </w:rPr>
  </w:style>
  <w:style w:type="character" w:customStyle="1" w:styleId="16">
    <w:name w:val="页眉 字符"/>
    <w:basedOn w:val="12"/>
    <w:link w:val="7"/>
    <w:qFormat/>
    <w:uiPriority w:val="0"/>
    <w:rPr>
      <w:rFonts w:ascii="Times New Roman" w:hAnsi="Times New Roman" w:eastAsia="宋体" w:cs="Times New Roman"/>
      <w:kern w:val="2"/>
      <w:sz w:val="18"/>
      <w:szCs w:val="18"/>
    </w:rPr>
  </w:style>
  <w:style w:type="character" w:customStyle="1" w:styleId="17">
    <w:name w:val="页脚 字符"/>
    <w:basedOn w:val="12"/>
    <w:link w:val="6"/>
    <w:qFormat/>
    <w:uiPriority w:val="0"/>
    <w:rPr>
      <w:rFonts w:ascii="Times New Roman" w:hAnsi="Times New Roman" w:eastAsia="宋体" w:cs="Times New Roman"/>
      <w:kern w:val="2"/>
      <w:sz w:val="18"/>
      <w:szCs w:val="18"/>
    </w:rPr>
  </w:style>
  <w:style w:type="character" w:customStyle="1" w:styleId="18">
    <w:name w:val="正文文本 字符"/>
    <w:basedOn w:val="12"/>
    <w:link w:val="5"/>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6"/>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4</Pages>
  <Words>1742</Words>
  <Characters>1886</Characters>
  <Lines>1</Lines>
  <Paragraphs>1</Paragraphs>
  <TotalTime>144</TotalTime>
  <ScaleCrop>false</ScaleCrop>
  <LinksUpToDate>false</LinksUpToDate>
  <CharactersWithSpaces>2007</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2023-02-26T09:34:00Z</dcterms:created>
  <dc:creator>张斌（反垄断处）</dc:creator>
  <cp:lastModifiedBy>scj</cp:lastModifiedBy>
  <cp:lastPrinted>2024-04-05T01:34:00Z</cp:lastPrinted>
  <dcterms:modified xsi:type="dcterms:W3CDTF">2024-12-09T09:57:32Z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30F7BBE20F33752DFC7F5167FD0034D7</vt:lpwstr>
  </property>
</Properties>
</file>