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jc w:val="both"/>
        <w:textAlignment w:val="auto"/>
        <w:rPr>
          <w:rFonts w:hint="default" w:ascii="Times New Roman" w:hAnsi="Times New Roman" w:eastAsia="黑体" w:cs="Times New Roman"/>
          <w:kern w:val="0"/>
          <w:sz w:val="32"/>
          <w:szCs w:val="32"/>
          <w:lang w:val="en-US" w:eastAsia="zh-CN" w:bidi="ar-AE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594" w:lineRule="exact"/>
        <w:jc w:val="center"/>
        <w:textAlignment w:val="auto"/>
        <w:rPr>
          <w:rFonts w:hint="eastAsia" w:ascii="黑体" w:hAnsi="黑体" w:eastAsia="黑体" w:cs="黑体"/>
          <w:b w:val="0"/>
          <w:bCs/>
          <w:kern w:val="0"/>
          <w:sz w:val="36"/>
          <w:szCs w:val="36"/>
          <w:lang w:val="en-GB" w:eastAsia="zh-CN" w:bidi="ar-AE"/>
        </w:rPr>
      </w:pPr>
      <w:r>
        <w:rPr>
          <w:rFonts w:hint="eastAsia" w:ascii="黑体" w:hAnsi="黑体" w:eastAsia="黑体" w:cs="黑体"/>
          <w:b w:val="0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8"/>
        <w:tblW w:w="9877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3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793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bookmarkStart w:id="0" w:name="_GoBack"/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池州市投资控股集团有限公司收购江苏宝利国际投资股份有限公司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股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权案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交易概况（限200字内）</w:t>
            </w:r>
          </w:p>
        </w:tc>
        <w:tc>
          <w:tcPr>
            <w:tcW w:w="793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池州市投资控股集团有限公司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（“池州投控”）通过设立的特殊目的公司池州投科股权投资基金合伙企业（有限合伙）（“池州投科”）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与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周德洪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周秀凤签署股份转让协议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eastAsia="zh-CN" w:bidi="ar-AE"/>
              </w:rPr>
              <w:t>，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池州投科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收购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江苏宝利国际投资股份有限公司（“宝利国际”）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共计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22.72%的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股份。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宝利国际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主要从事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道路沥青新材料的研发、生产和销售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eastAsia="zh-CN" w:bidi="ar-AE"/>
              </w:rPr>
              <w:t>交易前，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周德洪、周秀凤合计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AE"/>
              </w:rPr>
              <w:t>持有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宝利国际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AE"/>
              </w:rPr>
              <w:t>35.61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eastAsia="zh-CN" w:bidi="ar-AE"/>
              </w:rPr>
              <w:t>%的股份，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AE"/>
              </w:rPr>
              <w:t>共同控制宝利国际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eastAsia="zh-CN" w:bidi="ar-AE"/>
              </w:rPr>
              <w:t>。交易后，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池州投科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eastAsia="zh-CN" w:bidi="ar-AE"/>
              </w:rPr>
              <w:t>将持有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AE"/>
              </w:rPr>
              <w:t>宝利国际22.72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eastAsia="zh-CN" w:bidi="ar-AE"/>
              </w:rPr>
              <w:t>%的股份，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池州投科单独控制宝利国际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eastAsia="zh-CN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参与集中的经营者简介（每个限</w:t>
            </w:r>
            <w:r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字以内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）</w:t>
            </w:r>
          </w:p>
        </w:tc>
        <w:tc>
          <w:tcPr>
            <w:tcW w:w="1607" w:type="dxa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1.池州市投资控股集团有限公司</w:t>
            </w:r>
          </w:p>
        </w:tc>
        <w:tc>
          <w:tcPr>
            <w:tcW w:w="63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池州投控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于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2006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年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月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26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日成立于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安徽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省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池州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市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，为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池州市国资委下属国有独资企业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，主营城市建设、产业投资、文化旅游、交通运输、资产运营、人才发展等业务。</w:t>
            </w:r>
          </w:p>
          <w:p>
            <w:pPr>
              <w:pStyle w:val="7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池州投控为池州市国资委下属企业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07" w:type="dxa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2.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江苏宝利国际投资股份有限公司</w:t>
            </w:r>
          </w:p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</w:p>
        </w:tc>
        <w:tc>
          <w:tcPr>
            <w:tcW w:w="63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宝利国际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于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2002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年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11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月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7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日成立于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江苏省江阴市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，为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深圳证券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交易所上市公司，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主要业务为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从事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道路沥青新材料的研发、生产和销售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等。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宝利国际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最终控制人为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自然人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周德洪、周秀凤夫妇，主要通过</w:t>
            </w:r>
            <w:r>
              <w:rPr>
                <w:rFonts w:hint="eastAsia" w:ascii="Times New Roman" w:hAnsi="Times New Roman" w:cs="Times New Roman"/>
                <w:b w:val="0"/>
                <w:bCs/>
                <w:sz w:val="24"/>
                <w:lang w:val="en-US" w:eastAsia="zh-CN"/>
              </w:rPr>
              <w:t>控制</w:t>
            </w:r>
            <w:r>
              <w:rPr>
                <w:rFonts w:hint="eastAsia" w:cs="Times New Roman"/>
                <w:b w:val="0"/>
                <w:bCs/>
                <w:sz w:val="24"/>
                <w:lang w:val="en-US" w:eastAsia="zh-CN"/>
              </w:rPr>
              <w:t>宝利国际</w:t>
            </w:r>
            <w:r>
              <w:rPr>
                <w:rFonts w:hint="eastAsia" w:ascii="Times New Roman" w:hAnsi="Times New Roman" w:cs="Times New Roman"/>
                <w:b w:val="0"/>
                <w:bCs/>
                <w:sz w:val="24"/>
                <w:lang w:val="en-US" w:eastAsia="zh-CN"/>
              </w:rPr>
              <w:t>及其投资控股的下属企业从事沥青等高等级公路新材料的研发、生产和销售以及通用航空、融资租赁等业务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简易案件理由（可以单选，也可以多选）</w:t>
            </w:r>
          </w:p>
        </w:tc>
        <w:tc>
          <w:tcPr>
            <w:tcW w:w="7937" w:type="dxa"/>
            <w:gridSpan w:val="2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1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在同一相关市场，参与集中的经营者所占的市场份额之和小于15%。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937" w:type="dxa"/>
            <w:gridSpan w:val="2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FE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2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在上下游市场，参与集中的经营者所占的市场份额均小于25%。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937" w:type="dxa"/>
            <w:gridSpan w:val="2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3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不在同一相关市场也不存在上下游关系的参与集中的经营者，在与交易有关的每个市场所占的市场份额均小于25%。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937" w:type="dxa"/>
            <w:gridSpan w:val="2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4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937" w:type="dxa"/>
            <w:gridSpan w:val="2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5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937" w:type="dxa"/>
            <w:gridSpan w:val="2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6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7937" w:type="dxa"/>
            <w:gridSpan w:val="2"/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GB" w:eastAsia="zh-CN" w:bidi="ar-AE"/>
              </w:rPr>
              <w:t>纵向关联：</w:t>
            </w:r>
          </w:p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上游：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2023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年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中国境内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道路石油沥青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市场：</w:t>
            </w:r>
          </w:p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宝利国际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0-5%</w:t>
            </w:r>
          </w:p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下游：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2023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年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池州投控周边100公里沥青混合料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市场：</w:t>
            </w:r>
          </w:p>
          <w:p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池州投控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:</w:t>
            </w: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0-5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%</w:t>
            </w:r>
          </w:p>
        </w:tc>
      </w:tr>
    </w:tbl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eastAsia" w:ascii="Arial" w:hAnsi="Arial" w:eastAsia="楷体_GB2312" w:cs="Arial"/>
          <w:b/>
          <w:color w:val="000000"/>
          <w:kern w:val="0"/>
          <w:sz w:val="22"/>
          <w:szCs w:val="22"/>
          <w:lang w:eastAsia="zh-CN"/>
        </w:rPr>
      </w:pPr>
    </w:p>
    <w:p/>
    <w:sectPr>
      <w:endnotePr>
        <w:numFmt w:val="decimal"/>
      </w:endnotePr>
      <w:pgSz w:w="11906" w:h="16838"/>
      <w:pgMar w:top="1984" w:right="1474" w:bottom="1644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SI黑体-GB2312">
    <w:panose1 w:val="02000500000000000000"/>
    <w:charset w:val="86"/>
    <w:family w:val="auto"/>
    <w:pitch w:val="default"/>
    <w:sig w:usb0="800002BF" w:usb1="184F6CF8" w:usb2="00000012" w:usb3="00000000" w:csb0="0004000F" w:csb1="00000000"/>
  </w:font>
  <w:font w:name="CESI楷体-GB2312">
    <w:panose1 w:val="02000500000000000000"/>
    <w:charset w:val="86"/>
    <w:family w:val="auto"/>
    <w:pitch w:val="default"/>
    <w:sig w:usb0="800002BF" w:usb1="184F6CF8" w:usb2="00000012" w:usb3="00000000" w:csb0="0004000F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implified Arabic">
    <w:altName w:val="FreeSerif"/>
    <w:panose1 w:val="02020603050405020304"/>
    <w:charset w:val="00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Unicode MS">
    <w:altName w:val="Nimbus Roman No9 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bordersDoNotSurroundHeader w:val="true"/>
  <w:bordersDoNotSurroundFooter w:val="true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ODQwNThiYTg4YTBlNDhkZDRmNGNiNWM5NWE1YzAifQ=="/>
  </w:docVars>
  <w:rsids>
    <w:rsidRoot w:val="6FBDD792"/>
    <w:rsid w:val="04C66C1A"/>
    <w:rsid w:val="1D6F6EFE"/>
    <w:rsid w:val="1F7C72D8"/>
    <w:rsid w:val="2D246E2C"/>
    <w:rsid w:val="33A9646D"/>
    <w:rsid w:val="3E6F2A3E"/>
    <w:rsid w:val="3EFED501"/>
    <w:rsid w:val="3F5F2787"/>
    <w:rsid w:val="3F7F152F"/>
    <w:rsid w:val="3FFB76BA"/>
    <w:rsid w:val="46DFCD99"/>
    <w:rsid w:val="49659447"/>
    <w:rsid w:val="49A52D5F"/>
    <w:rsid w:val="4A29539F"/>
    <w:rsid w:val="511432B7"/>
    <w:rsid w:val="5596691C"/>
    <w:rsid w:val="59FAB6B4"/>
    <w:rsid w:val="5C6AC506"/>
    <w:rsid w:val="5DBB2A74"/>
    <w:rsid w:val="5F09CE98"/>
    <w:rsid w:val="6AFC31C5"/>
    <w:rsid w:val="6B8148C3"/>
    <w:rsid w:val="6E9FB973"/>
    <w:rsid w:val="6FBDD792"/>
    <w:rsid w:val="7004515E"/>
    <w:rsid w:val="74D42207"/>
    <w:rsid w:val="76D76867"/>
    <w:rsid w:val="76FE3A0F"/>
    <w:rsid w:val="7AFFB2DD"/>
    <w:rsid w:val="7BE9FB5F"/>
    <w:rsid w:val="7D7D4415"/>
    <w:rsid w:val="7E95FF33"/>
    <w:rsid w:val="7F4A2270"/>
    <w:rsid w:val="7F6F728B"/>
    <w:rsid w:val="7FEF3501"/>
    <w:rsid w:val="8EAE45C5"/>
    <w:rsid w:val="9B68F012"/>
    <w:rsid w:val="9B7FA9C1"/>
    <w:rsid w:val="9F9DCBBF"/>
    <w:rsid w:val="BBD36F41"/>
    <w:rsid w:val="BC3517BA"/>
    <w:rsid w:val="D76F6EF4"/>
    <w:rsid w:val="DFBC2832"/>
    <w:rsid w:val="DFFC4C00"/>
    <w:rsid w:val="DFFCC2EC"/>
    <w:rsid w:val="EF7CA40F"/>
    <w:rsid w:val="EFFF9D5B"/>
    <w:rsid w:val="F0CF0FA1"/>
    <w:rsid w:val="F78D7951"/>
    <w:rsid w:val="F7BD343A"/>
    <w:rsid w:val="F7DBD425"/>
    <w:rsid w:val="FB46F0CF"/>
    <w:rsid w:val="FEFB7B3A"/>
    <w:rsid w:val="FEFED215"/>
    <w:rsid w:val="FEFF3882"/>
    <w:rsid w:val="FFC7B96D"/>
    <w:rsid w:val="FFFCE7EB"/>
    <w:rsid w:val="FFFF7513"/>
    <w:rsid w:val="FFFF93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240" w:lineRule="auto"/>
      <w:jc w:val="center"/>
      <w:outlineLvl w:val="0"/>
    </w:pPr>
    <w:rPr>
      <w:rFonts w:ascii="Calibri" w:hAnsi="Calibri" w:eastAsia="CESI黑体-GB2312"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jc w:val="center"/>
      <w:outlineLvl w:val="1"/>
    </w:pPr>
    <w:rPr>
      <w:rFonts w:ascii="Arial" w:hAnsi="Arial" w:eastAsia="黑体"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jc w:val="center"/>
      <w:outlineLvl w:val="2"/>
    </w:pPr>
    <w:rPr>
      <w:rFonts w:ascii="Calibri" w:hAnsi="Calibri" w:eastAsia="CESI楷体-GB2312"/>
      <w:sz w:val="30"/>
    </w:rPr>
  </w:style>
  <w:style w:type="paragraph" w:styleId="5">
    <w:name w:val="heading 4"/>
    <w:basedOn w:val="1"/>
    <w:next w:val="1"/>
    <w:link w:val="11"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left"/>
      <w:outlineLvl w:val="3"/>
    </w:pPr>
    <w:rPr>
      <w:rFonts w:ascii="Arial" w:hAnsi="Arial" w:eastAsia="方正楷体_GBK"/>
      <w:color w:val="C00000"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qFormat/>
    <w:uiPriority w:val="0"/>
    <w:pPr>
      <w:spacing w:after="240"/>
      <w:jc w:val="both"/>
    </w:pPr>
    <w:rPr>
      <w:rFonts w:ascii="Times New Roman" w:hAnsi="Times New Roman" w:eastAsia="宋体" w:cs="Simplified Arabic"/>
      <w:sz w:val="24"/>
      <w:szCs w:val="24"/>
      <w:lang w:val="en-GB" w:eastAsia="en-GB" w:bidi="ar-AE"/>
    </w:rPr>
  </w:style>
  <w:style w:type="table" w:styleId="9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1">
    <w:name w:val="标题 4 Char"/>
    <w:link w:val="5"/>
    <w:qFormat/>
    <w:uiPriority w:val="0"/>
    <w:rPr>
      <w:rFonts w:ascii="Arial" w:hAnsi="Arial" w:eastAsia="方正楷体_GBK"/>
      <w:color w:val="C00000"/>
      <w:sz w:val="28"/>
    </w:rPr>
  </w:style>
  <w:style w:type="paragraph" w:customStyle="1" w:styleId="12">
    <w:name w:val="标题五"/>
    <w:basedOn w:val="6"/>
    <w:next w:val="1"/>
    <w:qFormat/>
    <w:uiPriority w:val="0"/>
    <w:rPr>
      <w:rFonts w:ascii="Arial" w:hAnsi="Arial" w:eastAsia="黑体" w:cs="Arial"/>
      <w:b w:val="0"/>
      <w:snapToGrid w:val="0"/>
      <w:color w:val="000000"/>
      <w:kern w:val="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769</Words>
  <Characters>825</Characters>
  <Lines>0</Lines>
  <Paragraphs>0</Paragraphs>
  <TotalTime>0</TotalTime>
  <ScaleCrop>false</ScaleCrop>
  <LinksUpToDate>false</LinksUpToDate>
  <CharactersWithSpaces>831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2024-04-13T06:41:00Z</dcterms:created>
  <dc:creator>oa</dc:creator>
  <cp:lastModifiedBy>scjuser</cp:lastModifiedBy>
  <dcterms:modified xsi:type="dcterms:W3CDTF">2024-12-19T14:22:57Z</dcterms:modified>
  <dc:title>附件4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9859A0B042FF42DB86B1FDCFB8533AF2_13</vt:lpwstr>
  </property>
</Properties>
</file>