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 w:line="594" w:lineRule="exact"/>
        <w:jc w:val="center"/>
        <w:rPr>
          <w:rFonts w:eastAsia="黑体" w:asciiTheme="majorBidi" w:hAnsiTheme="majorBidi" w:cstheme="majorBidi"/>
          <w:bCs/>
          <w:kern w:val="0"/>
          <w:sz w:val="36"/>
          <w:szCs w:val="36"/>
          <w:lang w:val="en-GB" w:bidi="ar-AE"/>
        </w:rPr>
      </w:pPr>
      <w:r>
        <w:rPr>
          <w:rFonts w:eastAsia="黑体" w:asciiTheme="majorBidi" w:hAnsiTheme="majorBidi" w:cstheme="majorBidi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1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46"/>
        <w:gridCol w:w="5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APG REP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与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 xml:space="preserve">PIMCO PRE 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收购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OMGH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Stichting Depository APG Strategic Real Estate Pool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 xml:space="preserve"> (</w:t>
            </w:r>
            <w:r>
              <w:rPr>
                <w:rFonts w:hint="default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“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APG REP</w:t>
            </w:r>
            <w:r>
              <w:rPr>
                <w:rFonts w:hint="default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”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)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、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 xml:space="preserve"> 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PIMCO Prime Real Estate GmbH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 xml:space="preserve"> 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(</w:t>
            </w:r>
            <w:r>
              <w:rPr>
                <w:rFonts w:hint="default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“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PIMCO PRE</w:t>
            </w:r>
            <w:r>
              <w:rPr>
                <w:rFonts w:hint="default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”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）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与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Cardif Assurance Vie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（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统称为</w:t>
            </w:r>
            <w:r>
              <w:rPr>
                <w:rFonts w:hint="default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“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基金合伙人</w:t>
            </w:r>
            <w:r>
              <w:rPr>
                <w:rFonts w:hint="default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”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）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以及其他少数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投资者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和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目标公司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Outlet Mall Group Holding S.à r.l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 xml:space="preserve"> (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“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OMGH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”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)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共十方签署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协议，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由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基金管理人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 xml:space="preserve">Nuveen Nuveen Management Company 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(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Luxembourg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 xml:space="preserve">) 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No 1 S.À R.L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（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“</w:t>
            </w:r>
            <w:r>
              <w:rPr>
                <w:rFonts w:asciiTheme="majorBidi" w:hAnsiTheme="majorBidi" w:eastAsiaTheme="minorEastAsia" w:cstheme="majorBidi"/>
                <w:b/>
                <w:bCs/>
                <w:kern w:val="0"/>
                <w:sz w:val="24"/>
                <w:lang w:bidi="ar-AE"/>
              </w:rPr>
              <w:t>Nuveen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”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）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向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其单独控制的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欧洲奥特莱斯购物中心基金FCP（“</w:t>
            </w:r>
            <w:r>
              <w:rPr>
                <w:rFonts w:asciiTheme="majorBidi" w:hAnsiTheme="majorBidi" w:eastAsiaTheme="minorEastAsia" w:cstheme="majorBidi"/>
                <w:b/>
                <w:bCs/>
                <w:kern w:val="0"/>
                <w:sz w:val="24"/>
                <w:lang w:bidi="ar-AE"/>
              </w:rPr>
              <w:t>基金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”)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的现有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上述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基金合伙人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及基金的部分少数投资者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分配基金控股子公司OMGH的股份。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交易前，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OMGH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由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Nuveen单独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控制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eastAsia="zh-CN" w:bidi="ar-AE"/>
              </w:rPr>
              <w:t>。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交易后，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OMGH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由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APG REP和PIMCO PRE共同控制。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OMGH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的主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营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bidi="ar-AE"/>
              </w:rPr>
              <w:t>业务是奥特莱斯购物中心的运营。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>）</w:t>
            </w:r>
          </w:p>
        </w:tc>
        <w:tc>
          <w:tcPr>
            <w:tcW w:w="1746" w:type="dxa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jc w:val="left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  <w:t>1.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>APG REP</w:t>
            </w:r>
          </w:p>
        </w:tc>
        <w:tc>
          <w:tcPr>
            <w:tcW w:w="5954" w:type="dxa"/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</w:pP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APG REP于2009年在荷兰</w:t>
            </w:r>
            <w:r>
              <w:rPr>
                <w:rFonts w:hint="eastAsia" w:asciiTheme="majorBidi" w:hAnsiTheme="majorBidi" w:eastAsiaTheme="minorEastAsia" w:cstheme="majorBidi"/>
                <w:kern w:val="0"/>
                <w:sz w:val="24"/>
                <w:lang w:val="en-US" w:eastAsia="zh-CN" w:bidi="ar-AE"/>
              </w:rPr>
              <w:t>注册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成立，此后一直是APG Strategic Real Estate Pool（“</w:t>
            </w:r>
            <w:r>
              <w:rPr>
                <w:rFonts w:asciiTheme="majorBidi" w:hAnsiTheme="majorBidi" w:eastAsiaTheme="minorEastAsia" w:cstheme="majorBidi"/>
                <w:b/>
                <w:bCs/>
                <w:kern w:val="0"/>
                <w:sz w:val="24"/>
                <w:lang w:bidi="ar-AE"/>
              </w:rPr>
              <w:t>APG Pool</w:t>
            </w:r>
            <w:r>
              <w:rPr>
                <w:rFonts w:asciiTheme="majorBidi" w:hAnsiTheme="majorBidi" w:eastAsiaTheme="minorEastAsia" w:cstheme="majorBidi"/>
                <w:kern w:val="0"/>
                <w:sz w:val="24"/>
                <w:lang w:bidi="ar-AE"/>
              </w:rPr>
              <w:t>”）的托管人。APG Pool是一家共同基金，主要业务是房地产投资。</w:t>
            </w:r>
          </w:p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  <w:r>
              <w:rPr>
                <w:rFonts w:asciiTheme="majorBidi" w:hAnsiTheme="majorBidi" w:eastAsiaTheme="minorEastAsia" w:cstheme="majorBidi"/>
              </w:rPr>
              <w:t>APG REP的最终控制人是Stichting Pensioenfonds ABP，是荷兰政府和教育机构的员工退休基金。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1746" w:type="dxa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  <w:t>2.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>PIMCO PRE</w:t>
            </w:r>
          </w:p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</w:p>
        </w:tc>
        <w:tc>
          <w:tcPr>
            <w:tcW w:w="5954" w:type="dxa"/>
            <w:vAlign w:val="center"/>
          </w:tcPr>
          <w:p>
            <w:pPr>
              <w:widowControl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PIMCO PRE于2005年在德国注册成立，是太平洋投资管理有限公司（Pacific Investment Management Company, LLC)房地产平台的一部分，后者是一家全球投资管理公司。</w:t>
            </w:r>
          </w:p>
          <w:p>
            <w:pPr>
              <w:widowControl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PIMCO PRE的最终控制人为 Allianz SE（Allianz SE及其子公司和受控关联公司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eastAsia="zh-CN" w:bidi="ar-AE"/>
              </w:rPr>
              <w:t>，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统称“安联集团”）。安联集团是一家全球性综合金融服务集团，在70多个国家经营寿险、非寿险和资产管理产品。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1746" w:type="dxa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  <w:r>
              <w:rPr>
                <w:rFonts w:hint="eastAsia" w:asciiTheme="majorBidi" w:hAnsiTheme="majorBidi" w:eastAsiaTheme="minorEastAsia" w:cstheme="majorBidi"/>
                <w:bCs/>
                <w:color w:val="000000"/>
                <w:lang w:val="en-US" w:eastAsia="zh-CN"/>
              </w:rPr>
              <w:t>3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  <w:t>.</w:t>
            </w:r>
            <w:r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hint="eastAsia" w:asciiTheme="majorBidi" w:hAnsiTheme="majorBidi" w:cstheme="majorBidi"/>
                <w:lang w:eastAsia="zh-CN"/>
              </w:rPr>
              <w:t>OMGH</w:t>
            </w:r>
          </w:p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5954" w:type="dxa"/>
            <w:vAlign w:val="center"/>
          </w:tcPr>
          <w:p>
            <w:pPr>
              <w:widowControl/>
              <w:snapToGrid w:val="0"/>
              <w:jc w:val="left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OMGH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于2003年10月30日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val="en-US" w:eastAsia="zh-CN" w:bidi="ar-AE"/>
              </w:rPr>
              <w:t>在卢森堡注册成立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，是一家特殊目的公司，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直接或间接持有位于三个欧洲国家的奥特莱斯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val="en-US" w:eastAsia="zh-CN" w:bidi="ar-AE"/>
              </w:rPr>
              <w:t>购物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中心组合的权益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。即：</w:t>
            </w:r>
          </w:p>
          <w:p>
            <w:pPr>
              <w:pStyle w:val="23"/>
              <w:widowControl/>
              <w:numPr>
                <w:ilvl w:val="0"/>
                <w:numId w:val="1"/>
              </w:numPr>
              <w:snapToGrid w:val="0"/>
              <w:jc w:val="left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位于意大利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的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塞拉瓦莱奥特莱斯和卡斯特尔罗马诺奥特莱斯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；</w:t>
            </w:r>
          </w:p>
          <w:p>
            <w:pPr>
              <w:pStyle w:val="23"/>
              <w:widowControl/>
              <w:numPr>
                <w:ilvl w:val="0"/>
                <w:numId w:val="1"/>
              </w:numPr>
              <w:snapToGrid w:val="0"/>
              <w:jc w:val="left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位于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奥地利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的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帕恩多夫奥特莱斯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；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以及</w:t>
            </w:r>
          </w:p>
          <w:p>
            <w:pPr>
              <w:pStyle w:val="23"/>
              <w:widowControl/>
              <w:numPr>
                <w:ilvl w:val="0"/>
                <w:numId w:val="1"/>
              </w:numPr>
              <w:snapToGrid w:val="0"/>
              <w:jc w:val="left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位于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荷兰</w:t>
            </w: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的</w:t>
            </w:r>
            <w:r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鲁尔蒙德奥特莱斯。</w:t>
            </w:r>
          </w:p>
          <w:p>
            <w:pPr>
              <w:widowControl/>
              <w:snapToGrid w:val="0"/>
              <w:jc w:val="left"/>
              <w:rPr>
                <w:rFonts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Theme="majorBidi" w:hAnsiTheme="majorBidi" w:eastAsiaTheme="minorEastAsia" w:cstheme="majorBidi"/>
                <w:bCs/>
                <w:color w:val="000000"/>
                <w:kern w:val="0"/>
                <w:sz w:val="24"/>
                <w:lang w:bidi="ar-AE"/>
              </w:rPr>
              <w:t>OMGH在中国没有任何经营活动。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 xml:space="preserve"> 1、在同一相关市场，参与集中的经营者所占市场份额之和小于15%。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 xml:space="preserve"> 2、在上下游市场，参与集中的经营者所占的市场份额均小于25%。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 xml:space="preserve"> 3、不在同一相关市场也不存在上下游关系的参与集中的经营者，在与交易有关的每个市场所占的份额均小于25%。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</w:pPr>
            <w:r>
              <w:rPr>
                <w:rFonts w:asciiTheme="majorBidi" w:hAnsiTheme="majorBidi" w:eastAsiaTheme="minorEastAsia" w:cstheme="majorBidi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8"/>
              <w:adjustRightInd w:val="0"/>
              <w:snapToGrid w:val="0"/>
              <w:spacing w:after="0" w:line="240" w:lineRule="auto"/>
              <w:rPr>
                <w:rFonts w:asciiTheme="majorBidi" w:hAnsiTheme="majorBidi" w:eastAsiaTheme="minorEastAsia" w:cstheme="majorBidi"/>
                <w:bCs/>
                <w:color w:val="000000"/>
                <w:lang w:eastAsia="zh-CN"/>
              </w:rPr>
            </w:pPr>
            <w:r>
              <w:rPr>
                <w:rFonts w:hint="eastAsia" w:asciiTheme="majorBidi" w:hAnsiTheme="majorBidi" w:eastAsiaTheme="minorEastAsia" w:cstheme="majorBidi"/>
                <w:bCs/>
                <w:color w:val="000000"/>
                <w:lang w:eastAsia="zh-CN"/>
              </w:rPr>
              <w:t>不适用</w:t>
            </w:r>
            <w:bookmarkStart w:id="0" w:name="_GoBack"/>
            <w:bookmarkEnd w:id="0"/>
          </w:p>
        </w:tc>
      </w:tr>
    </w:tbl>
    <w:p>
      <w:pPr>
        <w:pStyle w:val="8"/>
        <w:adjustRightInd w:val="0"/>
        <w:snapToGrid w:val="0"/>
        <w:spacing w:after="0" w:line="240" w:lineRule="auto"/>
        <w:rPr>
          <w:rFonts w:eastAsia="楷体_GB2312" w:asciiTheme="majorBidi" w:hAnsiTheme="majorBidi" w:cstheme="majorBidi"/>
          <w:b/>
          <w:color w:val="000000"/>
          <w:sz w:val="22"/>
          <w:szCs w:val="22"/>
          <w:lang w:eastAsia="zh-CN"/>
        </w:rPr>
      </w:pPr>
    </w:p>
    <w:p>
      <w:pPr>
        <w:rPr>
          <w:rFonts w:asciiTheme="majorBidi" w:hAnsiTheme="majorBidi" w:cstheme="majorBidi"/>
        </w:rPr>
      </w:pPr>
    </w:p>
    <w:sectPr>
      <w:endnotePr>
        <w:numFmt w:val="decimal"/>
      </w:endnotePr>
      <w:pgSz w:w="11906" w:h="16838"/>
      <w:pgMar w:top="1984" w:right="1474" w:bottom="1644" w:left="1474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FC744B"/>
    <w:multiLevelType w:val="multilevel"/>
    <w:tmpl w:val="55FC74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wNDZmNjNjNmEwYjExZmNjYmZhZDU3YjhlZTA1NjEifQ=="/>
  </w:docVars>
  <w:rsids>
    <w:rsidRoot w:val="6FBDD792"/>
    <w:rsid w:val="00051263"/>
    <w:rsid w:val="000742C3"/>
    <w:rsid w:val="00090789"/>
    <w:rsid w:val="000B58A9"/>
    <w:rsid w:val="00105CF6"/>
    <w:rsid w:val="001477D9"/>
    <w:rsid w:val="00184355"/>
    <w:rsid w:val="001A619C"/>
    <w:rsid w:val="001C0181"/>
    <w:rsid w:val="0023133A"/>
    <w:rsid w:val="002837B3"/>
    <w:rsid w:val="002A5282"/>
    <w:rsid w:val="002B7130"/>
    <w:rsid w:val="002C6554"/>
    <w:rsid w:val="00317BE2"/>
    <w:rsid w:val="00343F21"/>
    <w:rsid w:val="003479EE"/>
    <w:rsid w:val="003652F0"/>
    <w:rsid w:val="003C00EB"/>
    <w:rsid w:val="003C45AA"/>
    <w:rsid w:val="003E1309"/>
    <w:rsid w:val="003E66EF"/>
    <w:rsid w:val="00463A69"/>
    <w:rsid w:val="00481C25"/>
    <w:rsid w:val="004C7BFB"/>
    <w:rsid w:val="004F14AC"/>
    <w:rsid w:val="00523EF0"/>
    <w:rsid w:val="00534EC9"/>
    <w:rsid w:val="0053526A"/>
    <w:rsid w:val="005A7713"/>
    <w:rsid w:val="005A7D00"/>
    <w:rsid w:val="005F0834"/>
    <w:rsid w:val="00610F46"/>
    <w:rsid w:val="006140EB"/>
    <w:rsid w:val="00642408"/>
    <w:rsid w:val="006444AF"/>
    <w:rsid w:val="00683725"/>
    <w:rsid w:val="006B0D63"/>
    <w:rsid w:val="006F0F82"/>
    <w:rsid w:val="00717B80"/>
    <w:rsid w:val="007308D6"/>
    <w:rsid w:val="007453CC"/>
    <w:rsid w:val="00755D11"/>
    <w:rsid w:val="0075628C"/>
    <w:rsid w:val="007676FF"/>
    <w:rsid w:val="00771032"/>
    <w:rsid w:val="0077122D"/>
    <w:rsid w:val="0077573A"/>
    <w:rsid w:val="00782CFB"/>
    <w:rsid w:val="007E4089"/>
    <w:rsid w:val="007F348D"/>
    <w:rsid w:val="00806C30"/>
    <w:rsid w:val="00807141"/>
    <w:rsid w:val="008821A2"/>
    <w:rsid w:val="008E74C9"/>
    <w:rsid w:val="00902AB3"/>
    <w:rsid w:val="00915367"/>
    <w:rsid w:val="009154C1"/>
    <w:rsid w:val="00963760"/>
    <w:rsid w:val="00984E40"/>
    <w:rsid w:val="009C6E97"/>
    <w:rsid w:val="00A13435"/>
    <w:rsid w:val="00A41F36"/>
    <w:rsid w:val="00A50D9B"/>
    <w:rsid w:val="00A64430"/>
    <w:rsid w:val="00A94916"/>
    <w:rsid w:val="00AE028D"/>
    <w:rsid w:val="00AF31CF"/>
    <w:rsid w:val="00B05045"/>
    <w:rsid w:val="00B357D2"/>
    <w:rsid w:val="00B37090"/>
    <w:rsid w:val="00BB3B3B"/>
    <w:rsid w:val="00C24174"/>
    <w:rsid w:val="00C276C7"/>
    <w:rsid w:val="00C4244A"/>
    <w:rsid w:val="00C47704"/>
    <w:rsid w:val="00C816F0"/>
    <w:rsid w:val="00C84B79"/>
    <w:rsid w:val="00D448EB"/>
    <w:rsid w:val="00D456F9"/>
    <w:rsid w:val="00D831F8"/>
    <w:rsid w:val="00DA1473"/>
    <w:rsid w:val="00DA1ED8"/>
    <w:rsid w:val="00DA7633"/>
    <w:rsid w:val="00DD53CE"/>
    <w:rsid w:val="00E8571B"/>
    <w:rsid w:val="00EF2719"/>
    <w:rsid w:val="00F63A60"/>
    <w:rsid w:val="00FD3723"/>
    <w:rsid w:val="00FD3B31"/>
    <w:rsid w:val="00FD655A"/>
    <w:rsid w:val="00FE2C43"/>
    <w:rsid w:val="00FE34F6"/>
    <w:rsid w:val="00FE7004"/>
    <w:rsid w:val="01071987"/>
    <w:rsid w:val="045A3333"/>
    <w:rsid w:val="0A7113D6"/>
    <w:rsid w:val="14950C4A"/>
    <w:rsid w:val="24F2272A"/>
    <w:rsid w:val="2C885FEB"/>
    <w:rsid w:val="49659447"/>
    <w:rsid w:val="632B6431"/>
    <w:rsid w:val="6FBDD792"/>
    <w:rsid w:val="711E27A0"/>
    <w:rsid w:val="74D42207"/>
    <w:rsid w:val="76FE3A0F"/>
    <w:rsid w:val="7A733BF4"/>
    <w:rsid w:val="7FEF3501"/>
    <w:rsid w:val="9F9DCBBF"/>
    <w:rsid w:val="A77F3E7B"/>
    <w:rsid w:val="BC3517BA"/>
    <w:rsid w:val="DFBC2832"/>
    <w:rsid w:val="F0CF0FA1"/>
    <w:rsid w:val="F7BD343A"/>
    <w:rsid w:val="FEFED215"/>
    <w:rsid w:val="FEFF3882"/>
    <w:rsid w:val="FFFF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240" w:lineRule="auto"/>
      <w:jc w:val="center"/>
      <w:outlineLvl w:val="0"/>
    </w:pPr>
    <w:rPr>
      <w:rFonts w:eastAsia="CESI黑体-GB2312" w:asciiTheme="minorHAnsi" w:hAnsiTheme="minorHAnsi"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jc w:val="center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jc w:val="center"/>
      <w:outlineLvl w:val="2"/>
    </w:pPr>
    <w:rPr>
      <w:rFonts w:eastAsia="CESI楷体-GB2312" w:asciiTheme="minorHAnsi" w:hAnsiTheme="minorHAnsi"/>
      <w:sz w:val="30"/>
    </w:rPr>
  </w:style>
  <w:style w:type="paragraph" w:styleId="5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240" w:lineRule="auto"/>
      <w:jc w:val="left"/>
      <w:outlineLvl w:val="3"/>
    </w:pPr>
    <w:rPr>
      <w:rFonts w:ascii="Arial" w:hAnsi="Arial" w:eastAsia="方正楷体_GBK"/>
      <w:color w:val="C00000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19"/>
    <w:qFormat/>
    <w:uiPriority w:val="0"/>
    <w:pPr>
      <w:spacing w:line="240" w:lineRule="auto"/>
    </w:pPr>
    <w:rPr>
      <w:sz w:val="20"/>
      <w:szCs w:val="20"/>
    </w:rPr>
  </w:style>
  <w:style w:type="paragraph" w:styleId="8">
    <w:name w:val="Body Text"/>
    <w:qFormat/>
    <w:uiPriority w:val="0"/>
    <w:pPr>
      <w:spacing w:after="240" w:line="278" w:lineRule="auto"/>
      <w:jc w:val="both"/>
    </w:pPr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paragraph" w:styleId="9">
    <w:name w:val="footer"/>
    <w:basedOn w:val="1"/>
    <w:link w:val="22"/>
    <w:qFormat/>
    <w:uiPriority w:val="0"/>
    <w:pPr>
      <w:tabs>
        <w:tab w:val="center" w:pos="4153"/>
        <w:tab w:val="right" w:pos="8306"/>
      </w:tabs>
      <w:spacing w:after="0" w:line="240" w:lineRule="auto"/>
    </w:pPr>
  </w:style>
  <w:style w:type="paragraph" w:styleId="10">
    <w:name w:val="header"/>
    <w:basedOn w:val="1"/>
    <w:link w:val="21"/>
    <w:qFormat/>
    <w:uiPriority w:val="0"/>
    <w:pPr>
      <w:tabs>
        <w:tab w:val="center" w:pos="4153"/>
        <w:tab w:val="right" w:pos="8306"/>
      </w:tabs>
      <w:spacing w:after="0" w:line="240" w:lineRule="auto"/>
    </w:pPr>
  </w:style>
  <w:style w:type="paragraph" w:styleId="11">
    <w:name w:val="annotation subject"/>
    <w:basedOn w:val="7"/>
    <w:next w:val="7"/>
    <w:link w:val="20"/>
    <w:qFormat/>
    <w:uiPriority w:val="0"/>
    <w:rPr>
      <w:b/>
      <w:bCs/>
    </w:rPr>
  </w:style>
  <w:style w:type="table" w:styleId="13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15">
    <w:name w:val="annotation reference"/>
    <w:basedOn w:val="14"/>
    <w:qFormat/>
    <w:uiPriority w:val="0"/>
    <w:rPr>
      <w:sz w:val="16"/>
      <w:szCs w:val="16"/>
    </w:rPr>
  </w:style>
  <w:style w:type="paragraph" w:customStyle="1" w:styleId="16">
    <w:name w:val="标题五"/>
    <w:basedOn w:val="6"/>
    <w:next w:val="1"/>
    <w:qFormat/>
    <w:uiPriority w:val="0"/>
    <w:rPr>
      <w:rFonts w:ascii="Arial" w:hAnsi="Arial" w:eastAsia="黑体" w:cs="Arial"/>
      <w:b w:val="0"/>
      <w:snapToGrid w:val="0"/>
      <w:color w:val="000000"/>
      <w:kern w:val="0"/>
      <w:sz w:val="21"/>
      <w:szCs w:val="21"/>
    </w:rPr>
  </w:style>
  <w:style w:type="character" w:customStyle="1" w:styleId="17">
    <w:name w:val="Heading 4 Char"/>
    <w:link w:val="5"/>
    <w:qFormat/>
    <w:uiPriority w:val="0"/>
    <w:rPr>
      <w:rFonts w:ascii="Arial" w:hAnsi="Arial" w:eastAsia="方正楷体_GBK"/>
      <w:color w:val="C00000"/>
      <w:sz w:val="28"/>
    </w:rPr>
  </w:style>
  <w:style w:type="paragraph" w:customStyle="1" w:styleId="18">
    <w:name w:val="Revision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9">
    <w:name w:val="Comment Text Char"/>
    <w:basedOn w:val="14"/>
    <w:link w:val="7"/>
    <w:qFormat/>
    <w:uiPriority w:val="0"/>
    <w:rPr>
      <w:rFonts w:ascii="Times New Roman" w:hAnsi="Times New Roman" w:eastAsia="宋体" w:cs="Times New Roman"/>
      <w:kern w:val="2"/>
      <w:lang w:val="en-US"/>
    </w:rPr>
  </w:style>
  <w:style w:type="character" w:customStyle="1" w:styleId="20">
    <w:name w:val="Comment Subject Char"/>
    <w:basedOn w:val="19"/>
    <w:link w:val="11"/>
    <w:qFormat/>
    <w:uiPriority w:val="0"/>
    <w:rPr>
      <w:rFonts w:ascii="Times New Roman" w:hAnsi="Times New Roman" w:eastAsia="宋体" w:cs="Times New Roman"/>
      <w:b/>
      <w:bCs/>
      <w:kern w:val="2"/>
      <w:lang w:val="en-US"/>
    </w:rPr>
  </w:style>
  <w:style w:type="character" w:customStyle="1" w:styleId="21">
    <w:name w:val="Header Char"/>
    <w:basedOn w:val="14"/>
    <w:link w:val="10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/>
    </w:rPr>
  </w:style>
  <w:style w:type="character" w:customStyle="1" w:styleId="22">
    <w:name w:val="Footer Char"/>
    <w:basedOn w:val="14"/>
    <w:link w:val="9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/>
    </w:rPr>
  </w:style>
  <w:style w:type="paragraph" w:styleId="23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434</Words>
  <Characters>2475</Characters>
  <Lines>20</Lines>
  <Paragraphs>5</Paragraphs>
  <TotalTime>7</TotalTime>
  <ScaleCrop>false</ScaleCrop>
  <LinksUpToDate>false</LinksUpToDate>
  <CharactersWithSpaces>2904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2024-10-29T16:08:00Z</dcterms:created>
  <dc:creator>oa</dc:creator>
  <cp:lastModifiedBy>guest</cp:lastModifiedBy>
  <dcterms:modified xsi:type="dcterms:W3CDTF">2025-01-14T10:36:05Z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79F52B9729CD473BA353F53FBB2C86E7_13</vt:lpwstr>
  </property>
</Properties>
</file>