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cs="Times New Roman"/>
          <w:sz w:val="36"/>
          <w:szCs w:val="36"/>
        </w:rPr>
      </w:pPr>
      <w:r>
        <w:rPr>
          <w:rFonts w:hint="eastAsia" w:ascii="黑体" w:hAnsi="Times New Roman" w:eastAsia="黑体" w:cs="Times New Roman"/>
          <w:sz w:val="36"/>
          <w:szCs w:val="36"/>
        </w:rPr>
        <w:t>经营者集中简易案件公示表</w:t>
      </w:r>
    </w:p>
    <w:tbl>
      <w:tblPr>
        <w:tblStyle w:val="1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jc w:val="cente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案件名称</w:t>
            </w:r>
          </w:p>
        </w:tc>
        <w:tc>
          <w:tcPr>
            <w:tcW w:w="6949" w:type="dxa"/>
            <w:gridSpan w:val="2"/>
          </w:tcPr>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国家电投集团产融控股股份有限公司收购国电投核能有限公司股权案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jc w:val="cente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交易概况</w:t>
            </w:r>
          </w:p>
          <w:p>
            <w:pPr>
              <w:jc w:val="cente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（限200字内）</w:t>
            </w:r>
          </w:p>
        </w:tc>
        <w:tc>
          <w:tcPr>
            <w:tcW w:w="6949" w:type="dxa"/>
            <w:gridSpan w:val="2"/>
          </w:tcPr>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国家电投集团产融控股股份有限公司（“电投产融”）与国家核电技术有限公司（“国家核电”）、中国人寿保险股份有限公司（“中国人寿”）等签署协议，通过发行股份的方式购买国电投核能有限公司（“电投核能”）100%的股份。交易前，国家核电和中国人寿分别持有电投核能73.24%和26.76%的股份，国家核电和中国人寿具有反垄断法意义上的共同控制权。交易后，电投产融持有电投核能100%股权，单独控制电投核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1809" w:type="dxa"/>
            <w:vMerge w:val="restart"/>
            <w:shd w:val="clear" w:color="auto" w:fill="D9D9D9"/>
            <w:vAlign w:val="center"/>
          </w:tcPr>
          <w:p>
            <w:pPr>
              <w:jc w:val="cente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参与集中的经营者简介（每个限100字以内）</w:t>
            </w:r>
          </w:p>
        </w:tc>
        <w:tc>
          <w:tcPr>
            <w:tcW w:w="1796" w:type="dxa"/>
          </w:tcPr>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1、电投产融</w:t>
            </w:r>
          </w:p>
        </w:tc>
        <w:tc>
          <w:tcPr>
            <w:tcW w:w="5153" w:type="dxa"/>
          </w:tcPr>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电投产融于1998年9月14日成立于河北省石家庄市，为深圳交易所上市公司，主要业务为新能源发电、热电联产、金融等。</w:t>
            </w:r>
          </w:p>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电投产融最终控制人为国家电力投资集团有限公司（“国家电投”），主要业务为光伏发电、风电、水电等电力生产供应等。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jc w:val="center"/>
              <w:rPr>
                <w:rFonts w:hint="eastAsia" w:ascii="宋体" w:hAnsi="宋体" w:eastAsia="宋体" w:cs="宋体"/>
                <w:color w:val="333333"/>
                <w:kern w:val="0"/>
                <w:sz w:val="24"/>
                <w:szCs w:val="24"/>
              </w:rPr>
            </w:pPr>
          </w:p>
        </w:tc>
        <w:tc>
          <w:tcPr>
            <w:tcW w:w="1796" w:type="dxa"/>
          </w:tcPr>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2、电投核能</w:t>
            </w:r>
          </w:p>
        </w:tc>
        <w:tc>
          <w:tcPr>
            <w:tcW w:w="5153" w:type="dxa"/>
          </w:tcPr>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电投核能于2004年12月8日成立于山东省烟台市，主要业务为建设、运营及管理核电站，销售该等核电站所发电力。</w:t>
            </w:r>
          </w:p>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电投核能最终控制人为国家电投和中国人寿。国家电投主要业务为光伏发电、风电、水电等电力生产供应等。中国人寿主要业务为寿险业务。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jc w:val="cente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简易案件理由（可以单选，也可以多选）</w:t>
            </w:r>
          </w:p>
        </w:tc>
        <w:tc>
          <w:tcPr>
            <w:tcW w:w="6949" w:type="dxa"/>
            <w:gridSpan w:val="2"/>
          </w:tcPr>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sym w:font="Wingdings 2" w:char="F052"/>
            </w:r>
            <w:r>
              <w:rPr>
                <w:rFonts w:hint="eastAsia" w:ascii="宋体" w:hAnsi="宋体" w:eastAsia="宋体"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jc w:val="center"/>
              <w:rPr>
                <w:rFonts w:hint="eastAsia" w:ascii="宋体" w:hAnsi="宋体" w:eastAsia="宋体" w:cs="宋体"/>
                <w:color w:val="333333"/>
                <w:kern w:val="0"/>
                <w:sz w:val="24"/>
                <w:szCs w:val="24"/>
              </w:rPr>
            </w:pPr>
          </w:p>
        </w:tc>
        <w:tc>
          <w:tcPr>
            <w:tcW w:w="6949" w:type="dxa"/>
            <w:gridSpan w:val="2"/>
          </w:tcPr>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□2.在上下游市场，参与集中的经营者所占的市场份额均小于25%。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jc w:val="center"/>
              <w:rPr>
                <w:rFonts w:hint="eastAsia" w:ascii="宋体" w:hAnsi="宋体" w:eastAsia="宋体" w:cs="宋体"/>
                <w:color w:val="333333"/>
                <w:kern w:val="0"/>
                <w:sz w:val="24"/>
                <w:szCs w:val="24"/>
              </w:rPr>
            </w:pPr>
          </w:p>
        </w:tc>
        <w:tc>
          <w:tcPr>
            <w:tcW w:w="6949" w:type="dxa"/>
            <w:gridSpan w:val="2"/>
          </w:tcPr>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□3.不在同一相关市场也不存在上下游关系的参与集中的经营者，在与交易有关的每个市场所占的市场份额均小于25%。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jc w:val="center"/>
              <w:rPr>
                <w:rFonts w:hint="eastAsia" w:ascii="宋体" w:hAnsi="宋体" w:eastAsia="宋体" w:cs="宋体"/>
                <w:color w:val="333333"/>
                <w:kern w:val="0"/>
                <w:sz w:val="24"/>
                <w:szCs w:val="24"/>
              </w:rPr>
            </w:pPr>
          </w:p>
        </w:tc>
        <w:tc>
          <w:tcPr>
            <w:tcW w:w="6949" w:type="dxa"/>
            <w:gridSpan w:val="2"/>
          </w:tcPr>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jc w:val="center"/>
              <w:rPr>
                <w:rFonts w:hint="eastAsia" w:ascii="宋体" w:hAnsi="宋体" w:eastAsia="宋体" w:cs="宋体"/>
                <w:color w:val="333333"/>
                <w:kern w:val="0"/>
                <w:sz w:val="24"/>
                <w:szCs w:val="24"/>
              </w:rPr>
            </w:pPr>
          </w:p>
        </w:tc>
        <w:tc>
          <w:tcPr>
            <w:tcW w:w="6949" w:type="dxa"/>
            <w:gridSpan w:val="2"/>
          </w:tcPr>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jc w:val="center"/>
              <w:rPr>
                <w:rFonts w:hint="eastAsia" w:ascii="宋体" w:hAnsi="宋体" w:eastAsia="宋体" w:cs="宋体"/>
                <w:color w:val="333333"/>
                <w:kern w:val="0"/>
                <w:sz w:val="24"/>
                <w:szCs w:val="24"/>
              </w:rPr>
            </w:pPr>
          </w:p>
        </w:tc>
        <w:tc>
          <w:tcPr>
            <w:tcW w:w="6949" w:type="dxa"/>
            <w:gridSpan w:val="2"/>
          </w:tcPr>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sym w:font="Wingdings 2" w:char="F052"/>
            </w:r>
            <w:r>
              <w:rPr>
                <w:rFonts w:hint="eastAsia" w:ascii="宋体" w:hAnsi="宋体" w:eastAsia="宋体"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jc w:val="cente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备注</w:t>
            </w:r>
          </w:p>
        </w:tc>
        <w:tc>
          <w:tcPr>
            <w:tcW w:w="6949" w:type="dxa"/>
            <w:gridSpan w:val="2"/>
          </w:tcPr>
          <w:p>
            <w:pPr>
              <w:rPr>
                <w:rFonts w:hint="eastAsia" w:ascii="宋体" w:hAnsi="宋体" w:eastAsia="宋体" w:cs="宋体"/>
                <w:b/>
                <w:bCs/>
                <w:color w:val="333333"/>
                <w:kern w:val="0"/>
                <w:sz w:val="24"/>
                <w:szCs w:val="24"/>
              </w:rPr>
            </w:pPr>
            <w:r>
              <w:rPr>
                <w:rFonts w:hint="eastAsia" w:ascii="宋体" w:hAnsi="宋体" w:eastAsia="宋体" w:cs="宋体"/>
                <w:b/>
                <w:bCs/>
                <w:color w:val="333333"/>
                <w:kern w:val="0"/>
                <w:sz w:val="24"/>
                <w:szCs w:val="24"/>
              </w:rPr>
              <w:t>横向集中：</w:t>
            </w:r>
          </w:p>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lang w:val="en-US" w:eastAsia="zh-CN"/>
              </w:rPr>
              <w:t>2023年</w:t>
            </w:r>
            <w:r>
              <w:rPr>
                <w:rFonts w:hint="eastAsia" w:ascii="宋体" w:hAnsi="宋体" w:eastAsia="宋体" w:cs="宋体"/>
                <w:color w:val="333333"/>
                <w:kern w:val="0"/>
                <w:sz w:val="24"/>
                <w:szCs w:val="24"/>
              </w:rPr>
              <w:t>中国境内电力生产</w:t>
            </w:r>
            <w:r>
              <w:rPr>
                <w:rFonts w:hint="eastAsia" w:ascii="宋体" w:hAnsi="宋体" w:eastAsia="宋体" w:cs="宋体"/>
                <w:color w:val="333333"/>
                <w:kern w:val="0"/>
                <w:sz w:val="24"/>
                <w:szCs w:val="24"/>
                <w:lang w:eastAsia="zh-CN"/>
              </w:rPr>
              <w:t>与供应</w:t>
            </w:r>
            <w:r>
              <w:rPr>
                <w:rFonts w:hint="eastAsia" w:ascii="宋体" w:hAnsi="宋体" w:eastAsia="宋体" w:cs="宋体"/>
                <w:color w:val="333333"/>
                <w:kern w:val="0"/>
                <w:sz w:val="24"/>
                <w:szCs w:val="24"/>
              </w:rPr>
              <w:t>市场</w:t>
            </w:r>
            <w:bookmarkStart w:id="0" w:name="_GoBack"/>
            <w:bookmarkEnd w:id="0"/>
          </w:p>
          <w:p>
            <w:pP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电投核能：0-5%，电投产融：5-10%，各方合计：5-10%</w:t>
            </w:r>
          </w:p>
        </w:tc>
      </w:tr>
    </w:tbl>
    <w:p>
      <w:pPr>
        <w:snapToGrid w:val="0"/>
        <w:spacing w:line="240" w:lineRule="exact"/>
        <w:jc w:val="left"/>
        <w:rPr>
          <w:rFonts w:hint="eastAsia" w:ascii="楷体_GB2312" w:hAnsi="宋体" w:eastAsia="楷体_GB2312" w:cs="Times New Roman"/>
          <w:sz w:val="24"/>
          <w:szCs w:val="24"/>
        </w:rPr>
      </w:pPr>
    </w:p>
    <w:p>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方正魏碑简体"/>
    <w:panose1 w:val="02010600030101010101"/>
    <w:charset w:val="86"/>
    <w:family w:val="auto"/>
    <w:pitch w:val="default"/>
    <w:sig w:usb0="00000000" w:usb1="00000000" w:usb2="00000016" w:usb3="00000000" w:csb0="0004000F" w:csb1="00000000"/>
  </w:font>
  <w:font w:name="等线">
    <w:altName w:val="仿宋_GB2312"/>
    <w:panose1 w:val="00000000000000000000"/>
    <w:charset w:val="86"/>
    <w:family w:val="auto"/>
    <w:pitch w:val="default"/>
    <w:sig w:usb0="00000000" w:usb1="00000000" w:usb2="00000000" w:usb3="00000000" w:csb0="00000000" w:csb1="00000000"/>
  </w:font>
  <w:font w:name="等线">
    <w:altName w:val="国标宋体-超大字符集扩"/>
    <w:panose1 w:val="00000000000000000000"/>
    <w:charset w:val="00"/>
    <w:family w:val="auto"/>
    <w:pitch w:val="default"/>
    <w:sig w:usb0="00000000" w:usb1="00000000" w:usb2="00000000" w:usb3="00000000" w:csb0="00000000" w:csb1="00000000"/>
  </w:font>
  <w:font w:name="等线 Light">
    <w:altName w:val="方正魏碑简体"/>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modern"/>
    <w:pitch w:val="default"/>
    <w:sig w:usb0="00000000" w:usb1="00000000" w:usb2="00000016" w:usb3="00000000" w:csb0="00040001" w:csb1="00000000"/>
  </w:font>
  <w:font w:name="Wingdings 2">
    <w:panose1 w:val="05020102010507070707"/>
    <w:charset w:val="02"/>
    <w:family w:val="roman"/>
    <w:pitch w:val="default"/>
    <w:sig w:usb0="00000000" w:usb1="00000000" w:usb2="00000000" w:usb3="00000000" w:csb0="80000000" w:csb1="00000000"/>
  </w:font>
  <w:font w:name="楷体_GB2312">
    <w:panose1 w:val="02010609030101010101"/>
    <w:charset w:val="86"/>
    <w:family w:val="modern"/>
    <w:pitch w:val="default"/>
    <w:sig w:usb0="00000001" w:usb1="080E0000" w:usb2="00000000" w:usb3="00000000" w:csb0="00040000" w:csb1="00000000"/>
  </w:font>
  <w:font w:name="国标宋体-超大字符集扩">
    <w:panose1 w:val="00000500000000000000"/>
    <w:charset w:val="86"/>
    <w:family w:val="auto"/>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 w:name="等线 Light">
    <w:altName w:val="国标宋体-超大字符集扩"/>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true"/>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009"/>
    <w:rsid w:val="00013F66"/>
    <w:rsid w:val="00064708"/>
    <w:rsid w:val="001143C5"/>
    <w:rsid w:val="00192DBA"/>
    <w:rsid w:val="001A3D9F"/>
    <w:rsid w:val="001F2CA5"/>
    <w:rsid w:val="00250D1B"/>
    <w:rsid w:val="00313D03"/>
    <w:rsid w:val="003C3009"/>
    <w:rsid w:val="00402AD2"/>
    <w:rsid w:val="004427CD"/>
    <w:rsid w:val="005F2F02"/>
    <w:rsid w:val="00704C9D"/>
    <w:rsid w:val="007C59DF"/>
    <w:rsid w:val="00853B48"/>
    <w:rsid w:val="009B2E21"/>
    <w:rsid w:val="00B067E7"/>
    <w:rsid w:val="00B4201A"/>
    <w:rsid w:val="00B6725D"/>
    <w:rsid w:val="00C2060C"/>
    <w:rsid w:val="00C97019"/>
    <w:rsid w:val="00DF5DDB"/>
    <w:rsid w:val="00EC35B6"/>
    <w:rsid w:val="00F0005A"/>
    <w:rsid w:val="00F2778C"/>
    <w:rsid w:val="37ADE9EB"/>
    <w:rsid w:val="3FAF3EC6"/>
    <w:rsid w:val="5FF71E24"/>
    <w:rsid w:val="5FFD1317"/>
    <w:rsid w:val="6EEB0D51"/>
    <w:rsid w:val="773B37F3"/>
    <w:rsid w:val="7BFA0F0B"/>
    <w:rsid w:val="7F772825"/>
    <w:rsid w:val="7FF7928E"/>
    <w:rsid w:val="B7E6F2D4"/>
    <w:rsid w:val="BBF16C97"/>
    <w:rsid w:val="CBFB2E36"/>
    <w:rsid w:val="D7E86233"/>
    <w:rsid w:val="DDF2F594"/>
    <w:rsid w:val="DF7FE16F"/>
    <w:rsid w:val="EBEE4B78"/>
    <w:rsid w:val="F3C3B966"/>
    <w:rsid w:val="FEDEB3DB"/>
    <w:rsid w:val="FFAC0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8"/>
    <w:unhideWhenUsed/>
    <w:qFormat/>
    <w:uiPriority w:val="99"/>
    <w:pPr>
      <w:tabs>
        <w:tab w:val="center" w:pos="4153"/>
        <w:tab w:val="right" w:pos="8306"/>
      </w:tabs>
      <w:snapToGrid w:val="0"/>
      <w:jc w:val="left"/>
    </w:pPr>
    <w:rPr>
      <w:sz w:val="18"/>
      <w:szCs w:val="18"/>
    </w:rPr>
  </w:style>
  <w:style w:type="paragraph" w:styleId="12">
    <w:name w:val="header"/>
    <w:basedOn w:val="1"/>
    <w:link w:val="37"/>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customStyle="1" w:styleId="17">
    <w:name w:val="仿宋三号"/>
    <w:basedOn w:val="1"/>
    <w:link w:val="18"/>
    <w:qFormat/>
    <w:uiPriority w:val="0"/>
    <w:pPr>
      <w:spacing w:line="360" w:lineRule="auto"/>
      <w:ind w:firstLine="200" w:firstLineChars="200"/>
    </w:pPr>
    <w:rPr>
      <w:rFonts w:ascii="Times New Roman" w:hAnsi="Times New Roman" w:eastAsia="仿宋" w:cs="宋体"/>
      <w:sz w:val="32"/>
      <w:szCs w:val="24"/>
    </w:rPr>
  </w:style>
  <w:style w:type="character" w:customStyle="1" w:styleId="18">
    <w:name w:val="仿宋三号 字符"/>
    <w:basedOn w:val="16"/>
    <w:link w:val="17"/>
    <w:qFormat/>
    <w:uiPriority w:val="0"/>
    <w:rPr>
      <w:rFonts w:ascii="Times New Roman" w:hAnsi="Times New Roman" w:eastAsia="仿宋" w:cs="宋体"/>
      <w:sz w:val="32"/>
      <w:szCs w:val="24"/>
    </w:rPr>
  </w:style>
  <w:style w:type="character" w:customStyle="1" w:styleId="19">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6"/>
    <w:link w:val="5"/>
    <w:semiHidden/>
    <w:qFormat/>
    <w:uiPriority w:val="9"/>
    <w:rPr>
      <w:rFonts w:cstheme="majorBidi"/>
      <w:color w:val="104862" w:themeColor="accent1" w:themeShade="BF"/>
      <w:sz w:val="28"/>
      <w:szCs w:val="28"/>
    </w:rPr>
  </w:style>
  <w:style w:type="character" w:customStyle="1" w:styleId="23">
    <w:name w:val="标题 5 字符"/>
    <w:basedOn w:val="16"/>
    <w:link w:val="6"/>
    <w:semiHidden/>
    <w:qFormat/>
    <w:uiPriority w:val="9"/>
    <w:rPr>
      <w:rFonts w:cstheme="majorBidi"/>
      <w:color w:val="104862" w:themeColor="accent1" w:themeShade="BF"/>
      <w:sz w:val="24"/>
      <w:szCs w:val="24"/>
    </w:rPr>
  </w:style>
  <w:style w:type="character" w:customStyle="1" w:styleId="24">
    <w:name w:val="标题 6 字符"/>
    <w:basedOn w:val="16"/>
    <w:link w:val="7"/>
    <w:semiHidden/>
    <w:qFormat/>
    <w:uiPriority w:val="9"/>
    <w:rPr>
      <w:rFonts w:cstheme="majorBidi"/>
      <w:b/>
      <w:bCs/>
      <w:color w:val="104862" w:themeColor="accent1" w:themeShade="BF"/>
    </w:rPr>
  </w:style>
  <w:style w:type="character" w:customStyle="1" w:styleId="25">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明显强调1"/>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6"/>
    <w:link w:val="34"/>
    <w:qFormat/>
    <w:uiPriority w:val="30"/>
    <w:rPr>
      <w:i/>
      <w:iCs/>
      <w:color w:val="104862" w:themeColor="accent1" w:themeShade="BF"/>
    </w:rPr>
  </w:style>
  <w:style w:type="character" w:customStyle="1" w:styleId="36">
    <w:name w:val="明显参考1"/>
    <w:basedOn w:val="16"/>
    <w:qFormat/>
    <w:uiPriority w:val="32"/>
    <w:rPr>
      <w:b/>
      <w:bCs/>
      <w:smallCaps/>
      <w:color w:val="104862" w:themeColor="accent1" w:themeShade="BF"/>
      <w:spacing w:val="5"/>
    </w:rPr>
  </w:style>
  <w:style w:type="character" w:customStyle="1" w:styleId="37">
    <w:name w:val="页眉 字符"/>
    <w:basedOn w:val="16"/>
    <w:link w:val="12"/>
    <w:qFormat/>
    <w:uiPriority w:val="99"/>
    <w:rPr>
      <w:sz w:val="18"/>
      <w:szCs w:val="18"/>
    </w:rPr>
  </w:style>
  <w:style w:type="character" w:customStyle="1" w:styleId="38">
    <w:name w:val="页脚 字符"/>
    <w:basedOn w:val="16"/>
    <w:link w:val="11"/>
    <w:qFormat/>
    <w:uiPriority w:val="99"/>
    <w:rPr>
      <w:sz w:val="18"/>
      <w:szCs w:val="18"/>
    </w:rPr>
  </w:style>
  <w:style w:type="paragraph" w:customStyle="1" w:styleId="39">
    <w:name w:val="修订1"/>
    <w:hidden/>
    <w:semiHidden/>
    <w:qFormat/>
    <w:uiPriority w:val="99"/>
    <w:pPr>
      <w:spacing w:after="160" w:line="278" w:lineRule="auto"/>
    </w:pPr>
    <w:rPr>
      <w:rFonts w:asciiTheme="minorHAnsi" w:hAnsiTheme="minorHAnsi" w:eastAsiaTheme="minorEastAsia" w:cstheme="minorBidi"/>
      <w:kern w:val="2"/>
      <w:sz w:val="21"/>
      <w:szCs w:val="22"/>
      <w:lang w:val="en-US" w:eastAsia="zh-CN" w:bidi="ar-SA"/>
    </w:rPr>
  </w:style>
  <w:style w:type="paragraph" w:customStyle="1" w:styleId="40">
    <w:name w:val="Revision"/>
    <w:hidden/>
    <w:unhideWhenUsed/>
    <w:qFormat/>
    <w:uiPriority w:val="99"/>
    <w:pPr>
      <w:spacing w:after="0" w:line="240" w:lineRule="auto"/>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130</Words>
  <Characters>746</Characters>
  <Lines>6</Lines>
  <Paragraphs>1</Paragraphs>
  <TotalTime>5</TotalTime>
  <ScaleCrop>false</ScaleCrop>
  <LinksUpToDate>false</LinksUpToDate>
  <CharactersWithSpaces>875</CharactersWithSpaces>
  <Application>WPS Office_11.8.2.10386_F1E327BC-269C-435d-A152-05C5408002CA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2025-03-13T22:55:00Z</dcterms:created>
  <dc:creator>ZL</dc:creator>
  <cp:lastModifiedBy>scjgj</cp:lastModifiedBy>
  <dcterms:modified xsi:type="dcterms:W3CDTF">2025-03-13T15:45:24Z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