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60874">
      <w:pPr>
        <w:keepNext w:val="0"/>
        <w:keepLines w:val="0"/>
        <w:pageBreakBefore w:val="0"/>
        <w:widowControl w:val="0"/>
        <w:kinsoku/>
        <w:wordWrap/>
        <w:overflowPunct/>
        <w:topLinePunct w:val="0"/>
        <w:autoSpaceDE/>
        <w:autoSpaceDN/>
        <w:bidi w:val="0"/>
        <w:adjustRightInd/>
        <w:snapToGrid/>
        <w:spacing w:after="120"/>
        <w:jc w:val="center"/>
        <w:textAlignment w:val="auto"/>
        <w:rPr>
          <w:rFonts w:eastAsia="黑体" w:cs="黑体"/>
          <w:bCs/>
          <w:sz w:val="36"/>
          <w:szCs w:val="36"/>
        </w:rPr>
      </w:pPr>
      <w:bookmarkStart w:id="0" w:name="_GoBack"/>
      <w:r>
        <w:rPr>
          <w:rFonts w:hint="eastAsia" w:eastAsia="黑体" w:cs="黑体"/>
          <w:bCs/>
          <w:sz w:val="36"/>
          <w:szCs w:val="36"/>
        </w:rPr>
        <w:t>经营者集中简易案件公示表</w:t>
      </w:r>
    </w:p>
    <w:bookmarkEnd w:id="0"/>
    <w:tbl>
      <w:tblPr>
        <w:tblStyle w:val="5"/>
        <w:tblW w:w="8952"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1438"/>
        <w:gridCol w:w="5633"/>
      </w:tblGrid>
      <w:tr w14:paraId="269B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881" w:type="dxa"/>
            <w:shd w:val="clear" w:color="auto" w:fill="auto"/>
            <w:vAlign w:val="center"/>
          </w:tcPr>
          <w:p w14:paraId="64FA11B1">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rPr>
            </w:pPr>
            <w:r>
              <w:rPr>
                <w:rFonts w:hint="default" w:cs="Times New Roman"/>
                <w:bCs/>
                <w:color w:val="000000"/>
                <w:sz w:val="24"/>
                <w:szCs w:val="24"/>
              </w:rPr>
              <w:t>案件名称</w:t>
            </w:r>
          </w:p>
        </w:tc>
        <w:tc>
          <w:tcPr>
            <w:tcW w:w="7071" w:type="dxa"/>
            <w:gridSpan w:val="2"/>
            <w:vAlign w:val="center"/>
          </w:tcPr>
          <w:p w14:paraId="1CA17A06">
            <w:pPr>
              <w:keepNext w:val="0"/>
              <w:keepLines w:val="0"/>
              <w:suppressLineNumbers w:val="0"/>
              <w:adjustRightInd w:val="0"/>
              <w:snapToGrid w:val="0"/>
              <w:spacing w:before="0" w:beforeAutospacing="0" w:after="0" w:afterAutospacing="0"/>
              <w:ind w:left="0" w:right="0"/>
              <w:jc w:val="left"/>
              <w:rPr>
                <w:rFonts w:hint="default" w:eastAsia="宋体"/>
                <w:sz w:val="24"/>
                <w:szCs w:val="24"/>
                <w:lang w:val="en-US" w:bidi="ar-SA"/>
              </w:rPr>
            </w:pPr>
            <w:r>
              <w:rPr>
                <w:rFonts w:hint="eastAsia" w:eastAsia="宋体"/>
                <w:sz w:val="24"/>
                <w:szCs w:val="24"/>
                <w:lang w:val="en-US" w:bidi="ar-SA"/>
              </w:rPr>
              <w:t>广东粤海水务投资有限公司与茂名市小东江流域污水管网建设工程有限公司新设合营企业案</w:t>
            </w:r>
          </w:p>
        </w:tc>
      </w:tr>
      <w:tr w14:paraId="2090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881" w:type="dxa"/>
            <w:shd w:val="clear" w:color="auto" w:fill="auto"/>
            <w:vAlign w:val="center"/>
          </w:tcPr>
          <w:p w14:paraId="28138C94">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交易概况（限200字内）</w:t>
            </w:r>
          </w:p>
        </w:tc>
        <w:tc>
          <w:tcPr>
            <w:tcW w:w="7071" w:type="dxa"/>
            <w:gridSpan w:val="2"/>
            <w:vAlign w:val="center"/>
          </w:tcPr>
          <w:p w14:paraId="1C4DEDE8">
            <w:pPr>
              <w:pStyle w:val="7"/>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360" w:lineRule="exact"/>
              <w:ind w:left="0" w:right="0"/>
              <w:jc w:val="both"/>
              <w:textAlignment w:val="auto"/>
              <w:rPr>
                <w:rFonts w:hint="default"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广东粤海水务投资有限公司（“粤海水务”）与茂名市小东江流域污水管网建设工程有限公司（“茂名建工”）签署协议，约定共同新设合营企业。合营企业拟在茂名市内从事市政污水处理业务。交易后，粤海水务和茂名建工将分别持有合营企业65%、35%的股权，共同控制合营企业。</w:t>
            </w:r>
          </w:p>
        </w:tc>
      </w:tr>
      <w:tr w14:paraId="04FF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8" w:hRule="atLeast"/>
        </w:trPr>
        <w:tc>
          <w:tcPr>
            <w:tcW w:w="1881" w:type="dxa"/>
            <w:vMerge w:val="restart"/>
            <w:shd w:val="clear" w:color="auto" w:fill="auto"/>
            <w:vAlign w:val="center"/>
          </w:tcPr>
          <w:p w14:paraId="72BC2B52">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参与集中的经营者简介（每个限</w:t>
            </w:r>
            <w:r>
              <w:rPr>
                <w:rFonts w:hint="default" w:cs="Times New Roman"/>
                <w:bCs/>
                <w:color w:val="000000"/>
                <w:sz w:val="24"/>
                <w:szCs w:val="24"/>
                <w:lang w:val="en-US" w:eastAsia="zh-CN"/>
              </w:rPr>
              <w:t>100字以内</w:t>
            </w:r>
            <w:r>
              <w:rPr>
                <w:rFonts w:hint="default" w:cs="Times New Roman"/>
                <w:bCs/>
                <w:color w:val="000000"/>
                <w:sz w:val="24"/>
                <w:szCs w:val="24"/>
                <w:lang w:eastAsia="zh-CN"/>
              </w:rPr>
              <w:t>）</w:t>
            </w:r>
          </w:p>
        </w:tc>
        <w:tc>
          <w:tcPr>
            <w:tcW w:w="1438" w:type="dxa"/>
            <w:vAlign w:val="center"/>
          </w:tcPr>
          <w:p w14:paraId="0B18A5FB">
            <w:pPr>
              <w:pStyle w:val="3"/>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default" w:cs="Times New Roman"/>
                <w:bCs/>
                <w:color w:val="000000"/>
                <w:sz w:val="24"/>
                <w:szCs w:val="24"/>
                <w:lang w:val="en-US" w:eastAsia="zh-CN"/>
              </w:rPr>
              <w:t>1.</w:t>
            </w:r>
            <w:r>
              <w:rPr>
                <w:rFonts w:hint="eastAsia" w:cs="Times New Roman"/>
                <w:bCs/>
                <w:color w:val="000000"/>
                <w:sz w:val="24"/>
                <w:szCs w:val="24"/>
                <w:lang w:eastAsia="zh-CN"/>
              </w:rPr>
              <w:t>粤海水务</w:t>
            </w:r>
          </w:p>
        </w:tc>
        <w:tc>
          <w:tcPr>
            <w:tcW w:w="5633" w:type="dxa"/>
            <w:vAlign w:val="center"/>
          </w:tcPr>
          <w:p w14:paraId="0FF0ADFE">
            <w:pPr>
              <w:keepNext w:val="0"/>
              <w:keepLines w:val="0"/>
              <w:suppressLineNumbers w:val="0"/>
              <w:adjustRightInd w:val="0"/>
              <w:snapToGrid w:val="0"/>
              <w:spacing w:before="0" w:beforeAutospacing="0" w:after="0" w:afterAutospacing="0"/>
              <w:ind w:left="0" w:right="0"/>
              <w:jc w:val="both"/>
              <w:rPr>
                <w:rFonts w:hint="eastAsia" w:eastAsia="宋体"/>
                <w:sz w:val="24"/>
                <w:szCs w:val="24"/>
                <w:lang w:val="en-US" w:eastAsia="zh-CN" w:bidi="ar-SA"/>
              </w:rPr>
            </w:pPr>
            <w:r>
              <w:rPr>
                <w:rFonts w:hint="eastAsia" w:eastAsia="宋体"/>
                <w:sz w:val="24"/>
                <w:szCs w:val="24"/>
                <w:lang w:val="en-US" w:eastAsia="zh-CN" w:bidi="ar-SA"/>
              </w:rPr>
              <w:t>粤海水务于2014年12月23日成立于广东省深圳市，主要业务为原水、自来水、污水处理、水环境综合治理、清洁能源、科技研发等。</w:t>
            </w:r>
          </w:p>
          <w:p w14:paraId="1C40C25C">
            <w:pPr>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eastAsia" w:eastAsia="宋体"/>
                <w:sz w:val="24"/>
                <w:szCs w:val="24"/>
                <w:lang w:val="en-US" w:eastAsia="zh-CN" w:bidi="ar-SA"/>
              </w:rPr>
              <w:t>粤海水务的最终控制人为广东粤海控股集团有限公司，主要业务涉及公用事业及基础设施、制造业、房地产、酒店、物业管理、零售批发、金融等。</w:t>
            </w:r>
          </w:p>
        </w:tc>
      </w:tr>
      <w:tr w14:paraId="03A7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1881" w:type="dxa"/>
            <w:vMerge w:val="continue"/>
            <w:shd w:val="clear" w:color="auto" w:fill="auto"/>
            <w:vAlign w:val="center"/>
          </w:tcPr>
          <w:p w14:paraId="443CE30C">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1438" w:type="dxa"/>
            <w:vAlign w:val="center"/>
          </w:tcPr>
          <w:p w14:paraId="2B613F92">
            <w:pPr>
              <w:pStyle w:val="3"/>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default" w:cs="Times New Roman"/>
                <w:bCs/>
                <w:color w:val="000000"/>
                <w:sz w:val="24"/>
                <w:szCs w:val="24"/>
                <w:lang w:val="en-US" w:eastAsia="zh-CN"/>
              </w:rPr>
              <w:t>2.</w:t>
            </w:r>
            <w:r>
              <w:rPr>
                <w:rFonts w:hint="eastAsia" w:cs="Times New Roman"/>
                <w:bCs/>
                <w:color w:val="000000"/>
                <w:sz w:val="24"/>
                <w:szCs w:val="24"/>
                <w:lang w:val="en-US" w:eastAsia="zh-CN"/>
              </w:rPr>
              <w:t>茂名建工</w:t>
            </w:r>
          </w:p>
        </w:tc>
        <w:tc>
          <w:tcPr>
            <w:tcW w:w="5633" w:type="dxa"/>
            <w:vAlign w:val="center"/>
          </w:tcPr>
          <w:p w14:paraId="79B9ABE2">
            <w:pPr>
              <w:keepNext w:val="0"/>
              <w:keepLines w:val="0"/>
              <w:suppressLineNumbers w:val="0"/>
              <w:adjustRightInd w:val="0"/>
              <w:snapToGrid w:val="0"/>
              <w:spacing w:before="0" w:beforeAutospacing="0" w:after="0" w:afterAutospacing="0"/>
              <w:ind w:left="0" w:right="0"/>
              <w:jc w:val="both"/>
              <w:rPr>
                <w:rFonts w:hint="eastAsia"/>
                <w:sz w:val="24"/>
                <w:szCs w:val="24"/>
                <w:lang w:val="en-US" w:bidi="ar-SA"/>
              </w:rPr>
            </w:pPr>
            <w:r>
              <w:rPr>
                <w:rFonts w:hint="eastAsia"/>
                <w:sz w:val="24"/>
                <w:szCs w:val="24"/>
                <w:lang w:val="en-US" w:bidi="ar-SA"/>
              </w:rPr>
              <w:t>茂名建工于2022年9月26日成立于广东省茂名市，主要业务为负责茂名市小东江流域城镇生活污水管网设施的管理。</w:t>
            </w:r>
          </w:p>
          <w:p w14:paraId="2D6C44B0">
            <w:pPr>
              <w:keepNext w:val="0"/>
              <w:keepLines w:val="0"/>
              <w:suppressLineNumbers w:val="0"/>
              <w:adjustRightInd w:val="0"/>
              <w:snapToGrid w:val="0"/>
              <w:spacing w:before="0" w:beforeAutospacing="0" w:after="0" w:afterAutospacing="0"/>
              <w:ind w:left="0" w:right="0"/>
              <w:jc w:val="both"/>
              <w:rPr>
                <w:rFonts w:hint="default"/>
                <w:bCs/>
                <w:color w:val="000000"/>
                <w:sz w:val="24"/>
                <w:szCs w:val="24"/>
              </w:rPr>
            </w:pPr>
            <w:r>
              <w:rPr>
                <w:rFonts w:hint="eastAsia"/>
                <w:sz w:val="24"/>
                <w:szCs w:val="24"/>
                <w:lang w:val="en-US" w:bidi="ar-SA"/>
              </w:rPr>
              <w:t>茂名建工的最终控制人为茂名市发展集团</w:t>
            </w:r>
            <w:r>
              <w:rPr>
                <w:rFonts w:hint="eastAsia"/>
                <w:sz w:val="24"/>
                <w:szCs w:val="24"/>
                <w:lang w:val="en-US" w:eastAsia="zh-CN" w:bidi="ar-SA"/>
              </w:rPr>
              <w:t>有限公司</w:t>
            </w:r>
            <w:r>
              <w:rPr>
                <w:rFonts w:hint="eastAsia"/>
                <w:sz w:val="24"/>
                <w:szCs w:val="24"/>
                <w:lang w:val="en-US" w:bidi="ar-SA"/>
              </w:rPr>
              <w:t>，主要业务为城市建设与服务、产业发展、资产管理、食品农业、乡村振兴和资源开发等。</w:t>
            </w:r>
          </w:p>
        </w:tc>
      </w:tr>
      <w:tr w14:paraId="15C7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81" w:type="dxa"/>
            <w:vMerge w:val="restart"/>
            <w:shd w:val="clear" w:color="auto" w:fill="auto"/>
            <w:vAlign w:val="center"/>
          </w:tcPr>
          <w:p w14:paraId="7CD42690">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简易案件理由（可以单选，也可以多选）</w:t>
            </w:r>
          </w:p>
        </w:tc>
        <w:tc>
          <w:tcPr>
            <w:tcW w:w="7071" w:type="dxa"/>
            <w:gridSpan w:val="2"/>
            <w:vAlign w:val="center"/>
          </w:tcPr>
          <w:p w14:paraId="39E9E360">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sz w:val="24"/>
                <w:szCs w:val="24"/>
              </w:rPr>
              <w:sym w:font="Wingdings" w:char="F0FE"/>
            </w:r>
            <w:r>
              <w:rPr>
                <w:rFonts w:hint="default" w:cs="Times New Roman"/>
                <w:bCs/>
                <w:color w:val="000000"/>
                <w:sz w:val="24"/>
                <w:szCs w:val="24"/>
                <w:lang w:eastAsia="zh-CN"/>
              </w:rPr>
              <w:t xml:space="preserve"> 1、在同一相关市场，所有参与集中的经营者所占市场份额之和小于15%。</w:t>
            </w:r>
          </w:p>
        </w:tc>
      </w:tr>
      <w:tr w14:paraId="104E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81" w:type="dxa"/>
            <w:vMerge w:val="continue"/>
            <w:shd w:val="clear" w:color="auto" w:fill="auto"/>
            <w:vAlign w:val="center"/>
          </w:tcPr>
          <w:p w14:paraId="46E2F3A5">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17F2ABE3">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sz w:val="24"/>
                <w:szCs w:val="24"/>
              </w:rPr>
              <w:sym w:font="Wingdings" w:char="00FE"/>
            </w:r>
            <w:r>
              <w:rPr>
                <w:rFonts w:hint="default" w:cs="Times New Roman"/>
                <w:bCs/>
                <w:color w:val="000000"/>
                <w:sz w:val="24"/>
                <w:szCs w:val="24"/>
                <w:lang w:eastAsia="zh-CN"/>
              </w:rPr>
              <w:t xml:space="preserve"> 2、存在上下游关系的参与集中的经营者，在上下游市场所占的市场份额均小于25%。</w:t>
            </w:r>
          </w:p>
        </w:tc>
      </w:tr>
      <w:tr w14:paraId="608A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81" w:type="dxa"/>
            <w:vMerge w:val="continue"/>
            <w:shd w:val="clear" w:color="auto" w:fill="auto"/>
            <w:vAlign w:val="center"/>
          </w:tcPr>
          <w:p w14:paraId="58E26E06">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5C023776">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3、不在同一相关市场、也不存在上下游关系的参与集中的经营者，在与交易有关的每个市场所占的份额均小于25%。</w:t>
            </w:r>
          </w:p>
        </w:tc>
      </w:tr>
      <w:tr w14:paraId="42CB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81" w:type="dxa"/>
            <w:vMerge w:val="continue"/>
            <w:shd w:val="clear" w:color="auto" w:fill="auto"/>
            <w:vAlign w:val="center"/>
          </w:tcPr>
          <w:p w14:paraId="7F0A07CB">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740B2786">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4、参与集中的经营者在中国境外设立合营企业，合营企业不在中国境内从事经济活动。</w:t>
            </w:r>
          </w:p>
        </w:tc>
      </w:tr>
      <w:tr w14:paraId="648A8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81" w:type="dxa"/>
            <w:vMerge w:val="continue"/>
            <w:shd w:val="clear" w:color="auto" w:fill="auto"/>
            <w:vAlign w:val="center"/>
          </w:tcPr>
          <w:p w14:paraId="7BBBDEA8">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0B71534C">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5、参与集中的经营者收购境外企业股权或资产的，该境外企业不在中国境内从事经济活动。</w:t>
            </w:r>
          </w:p>
        </w:tc>
      </w:tr>
      <w:tr w14:paraId="569C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81" w:type="dxa"/>
            <w:vMerge w:val="continue"/>
            <w:shd w:val="clear" w:color="auto" w:fill="auto"/>
            <w:vAlign w:val="center"/>
          </w:tcPr>
          <w:p w14:paraId="1C43AD64">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76F6010A">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6、由两个以上的经营者共同控制的合营企业，通过集中被其中一个或一个以上经营者控制。</w:t>
            </w:r>
          </w:p>
        </w:tc>
      </w:tr>
      <w:tr w14:paraId="5906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881" w:type="dxa"/>
            <w:shd w:val="clear" w:color="auto" w:fill="auto"/>
            <w:vAlign w:val="center"/>
          </w:tcPr>
          <w:p w14:paraId="53299C01">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val="en-US" w:eastAsia="zh-CN"/>
              </w:rPr>
              <w:t>备注</w:t>
            </w:r>
          </w:p>
        </w:tc>
        <w:tc>
          <w:tcPr>
            <w:tcW w:w="7071" w:type="dxa"/>
            <w:gridSpan w:val="2"/>
            <w:vAlign w:val="center"/>
          </w:tcPr>
          <w:p w14:paraId="0C539D51">
            <w:pPr>
              <w:pStyle w:val="3"/>
              <w:keepNext w:val="0"/>
              <w:keepLines w:val="0"/>
              <w:suppressLineNumbers w:val="0"/>
              <w:adjustRightInd w:val="0"/>
              <w:snapToGrid w:val="0"/>
              <w:spacing w:before="0" w:beforeAutospacing="0" w:after="0" w:afterAutospacing="0"/>
              <w:ind w:left="0" w:right="0"/>
              <w:rPr>
                <w:rFonts w:hint="eastAsia"/>
                <w:b/>
                <w:bCs/>
                <w:sz w:val="24"/>
                <w:szCs w:val="24"/>
                <w:lang w:eastAsia="zh-CN"/>
              </w:rPr>
            </w:pPr>
            <w:r>
              <w:rPr>
                <w:rFonts w:hint="eastAsia"/>
                <w:b/>
                <w:bCs/>
                <w:sz w:val="24"/>
                <w:szCs w:val="24"/>
                <w:lang w:eastAsia="zh-CN"/>
              </w:rPr>
              <w:t>横向重叠：</w:t>
            </w:r>
          </w:p>
          <w:p w14:paraId="688FA363">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2023年中国境内市政污水处理市场</w:t>
            </w:r>
          </w:p>
          <w:p w14:paraId="38B66BD0">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粤海水务：0-5%，合营企业（预估）：0-</w:t>
            </w:r>
            <w:r>
              <w:rPr>
                <w:rFonts w:hint="eastAsia"/>
                <w:b w:val="0"/>
                <w:bCs w:val="0"/>
                <w:sz w:val="24"/>
                <w:szCs w:val="24"/>
                <w:lang w:val="en-US" w:eastAsia="zh-CN"/>
              </w:rPr>
              <w:t>5</w:t>
            </w:r>
            <w:r>
              <w:rPr>
                <w:rFonts w:hint="eastAsia"/>
                <w:b w:val="0"/>
                <w:bCs w:val="0"/>
                <w:sz w:val="24"/>
                <w:szCs w:val="24"/>
                <w:lang w:eastAsia="zh-CN"/>
              </w:rPr>
              <w:t>%，各方合计：0-5%</w:t>
            </w:r>
          </w:p>
          <w:p w14:paraId="39AA8C6A">
            <w:pPr>
              <w:pStyle w:val="3"/>
              <w:keepNext w:val="0"/>
              <w:keepLines w:val="0"/>
              <w:suppressLineNumbers w:val="0"/>
              <w:adjustRightInd w:val="0"/>
              <w:snapToGrid w:val="0"/>
              <w:spacing w:before="0" w:beforeAutospacing="0" w:after="0" w:afterAutospacing="0"/>
              <w:ind w:left="0" w:right="0"/>
              <w:rPr>
                <w:rFonts w:hint="eastAsia"/>
                <w:b/>
                <w:bCs/>
                <w:sz w:val="24"/>
                <w:szCs w:val="24"/>
                <w:lang w:eastAsia="zh-CN"/>
              </w:rPr>
            </w:pPr>
            <w:r>
              <w:rPr>
                <w:rFonts w:hint="eastAsia"/>
                <w:b/>
                <w:bCs/>
                <w:sz w:val="24"/>
                <w:szCs w:val="24"/>
                <w:lang w:eastAsia="zh-CN"/>
              </w:rPr>
              <w:t>纵向关联：</w:t>
            </w:r>
          </w:p>
          <w:p w14:paraId="2AAB7D19">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上游：2023年中国境内市政公用工程施工总承包市场</w:t>
            </w:r>
          </w:p>
          <w:p w14:paraId="16CC295C">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粤海水务：0-5%，茂名建工：0-5%，各方合计：0-5%</w:t>
            </w:r>
          </w:p>
          <w:p w14:paraId="07A134F3">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下游：2023年中国境内市政污水处理市场</w:t>
            </w:r>
          </w:p>
          <w:p w14:paraId="27862996">
            <w:pPr>
              <w:pStyle w:val="3"/>
              <w:keepNext w:val="0"/>
              <w:keepLines w:val="0"/>
              <w:suppressLineNumbers w:val="0"/>
              <w:adjustRightInd w:val="0"/>
              <w:snapToGrid w:val="0"/>
              <w:spacing w:before="0" w:beforeAutospacing="0" w:after="0" w:afterAutospacing="0"/>
              <w:ind w:left="0" w:right="0"/>
              <w:rPr>
                <w:rFonts w:hint="default"/>
                <w:lang w:eastAsia="zh-CN"/>
              </w:rPr>
            </w:pPr>
            <w:r>
              <w:rPr>
                <w:rFonts w:hint="eastAsia"/>
                <w:b w:val="0"/>
                <w:bCs w:val="0"/>
                <w:sz w:val="24"/>
                <w:szCs w:val="24"/>
                <w:lang w:eastAsia="zh-CN"/>
              </w:rPr>
              <w:t>如上所述</w:t>
            </w:r>
          </w:p>
        </w:tc>
      </w:tr>
    </w:tbl>
    <w:p w14:paraId="538499F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F174C"/>
    <w:rsid w:val="780F1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next w:val="4"/>
    <w:unhideWhenUsed/>
    <w:qFormat/>
    <w:uiPriority w:val="99"/>
    <w:pPr>
      <w:spacing w:after="120"/>
    </w:pPr>
  </w:style>
  <w:style w:type="paragraph" w:styleId="4">
    <w:name w:val="Body Text First Indent"/>
    <w:qFormat/>
    <w:uiPriority w:val="0"/>
    <w:pPr>
      <w:keepNext w:val="0"/>
      <w:keepLines w:val="0"/>
      <w:widowControl w:val="0"/>
      <w:suppressLineNumbers w:val="0"/>
      <w:spacing w:after="120" w:afterAutospacing="0"/>
      <w:ind w:firstLine="420" w:firstLineChars="100"/>
      <w:jc w:val="both"/>
    </w:pPr>
    <w:rPr>
      <w:rFonts w:hint="default" w:ascii="Times New Roman" w:hAnsi="Times New Roman" w:eastAsia="宋体" w:cs="Times New Roman"/>
      <w:kern w:val="2"/>
      <w:sz w:val="21"/>
      <w:szCs w:val="21"/>
      <w:lang w:val="en-US" w:eastAsia="zh-CN" w:bidi="ar"/>
    </w:rPr>
  </w:style>
  <w:style w:type="paragraph" w:customStyle="1" w:styleId="7">
    <w:name w:val="Table Paragraph"/>
    <w:basedOn w:val="1"/>
    <w:qFormat/>
    <w:uiPriority w:val="1"/>
    <w:pPr>
      <w:widowControl w:val="0"/>
      <w:autoSpaceDE w:val="0"/>
      <w:autoSpaceDN w:val="0"/>
      <w:spacing w:after="0"/>
      <w:jc w:val="left"/>
    </w:pPr>
    <w:rPr>
      <w:rFonts w:ascii="微软雅黑" w:hAnsi="微软雅黑" w:eastAsia="微软雅黑" w:cs="微软雅黑"/>
      <w:sz w:val="22"/>
      <w:szCs w:val="22"/>
      <w:lang w:val="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2025-03-17T02:19:00Z</dcterms:created>
  <dc:creator>胡翌婧</dc:creator>
  <cp:lastModifiedBy>胡翌婧</cp:lastModifiedBy>
  <dcterms:modified xsi:type="dcterms:W3CDTF">2025-03-17T02:19:41Z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5F268729017B4D679FF3C8288535E414_11</vt:lpwstr>
  </property>
  <property fmtid="{D5CDD505-2E9C-101B-9397-08002B2CF9AE}" pid="4" name="KSOTemplateDocerSaveRecord">
    <vt:lpwstr>eyJoZGlkIjoiODNjM2VkZWUwYjdkZDYzZGY2NmZiZGNiZGIyMjFjYWIiLCJ1c2VySWQiOiIyNDQ2MzYxMzgifQ==</vt:lpwstr>
  </property>
</Properties>
</file>