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FE3FE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tbl>
      <w:tblPr>
        <w:tblStyle w:val="5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02604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 w14:paraId="3CB854E0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2230D811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KKR公司收购法国液化天然气运输公司股权案</w:t>
            </w:r>
          </w:p>
        </w:tc>
      </w:tr>
      <w:tr w14:paraId="27015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 w14:paraId="4EF07D1B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319461F7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KKR公司（与其子公司合称“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</w:rPr>
              <w:t>KKR</w:t>
            </w:r>
            <w:r>
              <w:rPr>
                <w:rFonts w:hint="default" w:ascii="Times New Roman" w:hAnsi="Times New Roman" w:cs="Times New Roman"/>
                <w:sz w:val="24"/>
              </w:rPr>
              <w:t>”）通过单独控制的投资组合公司Ocean Yield公司，收购Marigold ACP公司（“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</w:rPr>
              <w:t>Marigold</w:t>
            </w:r>
            <w:r>
              <w:rPr>
                <w:rFonts w:hint="default" w:ascii="Times New Roman" w:hAnsi="Times New Roman" w:cs="Times New Roman"/>
                <w:sz w:val="24"/>
              </w:rPr>
              <w:t>”）的100%股份，从而间接增持法国液化天然气运输公司（“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</w:rPr>
              <w:t>FLS</w:t>
            </w:r>
            <w:r>
              <w:rPr>
                <w:rFonts w:hint="default" w:ascii="Times New Roman" w:hAnsi="Times New Roman" w:cs="Times New Roman"/>
                <w:sz w:val="24"/>
              </w:rPr>
              <w:t>”）5.87%的股份。交易前，日本邮船株式会社（“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</w:rPr>
              <w:t>日本邮船</w:t>
            </w:r>
            <w:r>
              <w:rPr>
                <w:rFonts w:hint="default" w:ascii="Times New Roman" w:hAnsi="Times New Roman" w:cs="Times New Roman"/>
                <w:sz w:val="24"/>
              </w:rPr>
              <w:t>”）、Geogas 海运公司（“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</w:rPr>
              <w:t>Geogas海运</w:t>
            </w:r>
            <w:r>
              <w:rPr>
                <w:rFonts w:hint="default" w:ascii="Times New Roman" w:hAnsi="Times New Roman" w:cs="Times New Roman"/>
                <w:sz w:val="24"/>
              </w:rPr>
              <w:t>”）、KKR（通过Ocean Yield）、Marigold分别控制FLS 50%、28.975%、12.815%、5.87%的股份，共同控制FLS。交易后，日本邮船、Geogas海运、KKR（通过Ocean Yield）将分别控制FLS 50%、28.975%、18.685%股份，共同控制FLS。</w:t>
            </w:r>
          </w:p>
        </w:tc>
      </w:tr>
      <w:tr w14:paraId="1E07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 w14:paraId="3547E2B6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62432DB0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KKR公司</w:t>
            </w:r>
          </w:p>
        </w:tc>
        <w:tc>
          <w:tcPr>
            <w:tcW w:w="6224" w:type="dxa"/>
            <w:vAlign w:val="center"/>
          </w:tcPr>
          <w:p w14:paraId="071C9ACC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KKR公司于1976年成立于美国，为纽约证券交易所上市公司，主要从事投资业务，包括另类资产管理以及资本市场和保险解决方案。</w:t>
            </w:r>
          </w:p>
          <w:p w14:paraId="198A4F84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KKR最终控制人为KKR管理有限合伙，是一家控股公司，通过其关联实体从事投资业务。</w:t>
            </w:r>
          </w:p>
        </w:tc>
      </w:tr>
      <w:tr w14:paraId="7A87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58199D98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7F93E9B1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2.日本邮船</w:t>
            </w:r>
          </w:p>
        </w:tc>
        <w:tc>
          <w:tcPr>
            <w:tcW w:w="6224" w:type="dxa"/>
            <w:vAlign w:val="center"/>
          </w:tcPr>
          <w:p w14:paraId="288DC3FF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日本邮船于1885年9月29日成立于日本，为东京证券交易所上市公司，主要从事全球物流、散货航运、邮轮服务以及房地产业务。</w:t>
            </w:r>
          </w:p>
          <w:p w14:paraId="2F494AEF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日本邮船无最终控制人。</w:t>
            </w:r>
          </w:p>
        </w:tc>
      </w:tr>
      <w:tr w14:paraId="405F3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246BB0A6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3FD8E881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3.Geogas海运</w:t>
            </w:r>
          </w:p>
        </w:tc>
        <w:tc>
          <w:tcPr>
            <w:tcW w:w="6224" w:type="dxa"/>
            <w:vAlign w:val="center"/>
          </w:tcPr>
          <w:p w14:paraId="6A5D2F9D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Geogas海运于2000年6月8日成立于法国，主要业务为液化石油气的国际运输。</w:t>
            </w:r>
          </w:p>
          <w:p w14:paraId="3CD64BD7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Geogas海运的最终控制人是Alphivic Holding，主要业务为液化石油气的国际贸易与运输。</w:t>
            </w:r>
          </w:p>
        </w:tc>
      </w:tr>
      <w:tr w14:paraId="2C690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7C0C0032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18701092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4.FLS</w:t>
            </w:r>
          </w:p>
        </w:tc>
        <w:tc>
          <w:tcPr>
            <w:tcW w:w="6224" w:type="dxa"/>
            <w:vAlign w:val="center"/>
          </w:tcPr>
          <w:p w14:paraId="299E50BC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FLS于2019年10月22日成立于法国，主要业务为液化天然气海运。</w:t>
            </w:r>
          </w:p>
          <w:p w14:paraId="0D1C202A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FLS最终控制人为日本邮船、Alphivic Holding、KKR管理有限合伙和Access Capital Partners Group S.A.（“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</w:rPr>
              <w:t>ACP</w:t>
            </w:r>
            <w:r>
              <w:rPr>
                <w:rFonts w:hint="default" w:ascii="Times New Roman" w:hAnsi="Times New Roman" w:cs="Times New Roman"/>
                <w:sz w:val="24"/>
              </w:rPr>
              <w:t>”）。ACP主要从事私人资产投资；其他最终控制人主要业务如上所述。</w:t>
            </w:r>
          </w:p>
        </w:tc>
      </w:tr>
      <w:tr w14:paraId="385D3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 w14:paraId="759E6B70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FA1A483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 w14:paraId="7F058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2643026F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ADEFC30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 w14:paraId="61188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584909A8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1B51A57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14:paraId="02ED5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67C3AE5B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CF37ADF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7F476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3256F1E8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3AF36FC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6CCE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3C6159E0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60266A7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63BD6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 w14:paraId="00100FA6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6612946C"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纵向关联：</w:t>
            </w:r>
          </w:p>
          <w:p w14:paraId="64BC9B95"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上游：2024年全球船舶融资市场：</w:t>
            </w:r>
          </w:p>
          <w:p w14:paraId="0AB35DDD"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KKR：0-5%</w:t>
            </w:r>
          </w:p>
          <w:p w14:paraId="38B82BF5"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下游：2024年不特定航线集合的LNG海运市场：</w:t>
            </w:r>
          </w:p>
          <w:p w14:paraId="35BF4A58"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日本邮船（含FLS）：5-10%</w:t>
            </w:r>
          </w:p>
        </w:tc>
      </w:tr>
    </w:tbl>
    <w:p w14:paraId="722A43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34629"/>
    <w:rsid w:val="6283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3">
    <w:name w:val="Body Text"/>
    <w:basedOn w:val="1"/>
    <w:next w:val="4"/>
    <w:unhideWhenUsed/>
    <w:qFormat/>
    <w:uiPriority w:val="99"/>
    <w:pPr>
      <w:spacing w:after="120"/>
    </w:pPr>
  </w:style>
  <w:style w:type="paragraph" w:styleId="4">
    <w:name w:val="Body Text First Indent"/>
    <w:basedOn w:val="3"/>
    <w:qFormat/>
    <w:uiPriority w:val="0"/>
    <w:pPr>
      <w:ind w:firstLine="420" w:firstLineChars="1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2025-05-30T02:18:00Z</dcterms:created>
  <dc:creator>胡翌婧</dc:creator>
  <cp:lastModifiedBy>胡翌婧</cp:lastModifiedBy>
  <dcterms:modified xsi:type="dcterms:W3CDTF">2025-05-30T02:19:59Z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1459A19758C74E4998722BD16142E63F_11</vt:lpwstr>
  </property>
  <property fmtid="{D5CDD505-2E9C-101B-9397-08002B2CF9AE}" pid="4" name="KSOTemplateDocerSaveRecord">
    <vt:lpwstr>eyJoZGlkIjoiODNjM2VkZWUwYjdkZDYzZGY2NmZiZGNiZGIyMjFjYWIiLCJ1c2VySWQiOiIyNDQ2MzYxMzgifQ==</vt:lpwstr>
  </property>
</Properties>
</file>