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C7AD43">
      <w:pPr>
        <w:widowControl/>
        <w:spacing w:after="240"/>
        <w:jc w:val="center"/>
        <w:rPr>
          <w:rFonts w:hint="default" w:ascii="Times New Roman" w:hAnsi="Times New Roman" w:eastAsia="方正小标宋简体" w:cs="Times New Roman"/>
          <w:bCs/>
          <w:kern w:val="0"/>
          <w:sz w:val="44"/>
          <w:szCs w:val="44"/>
          <w:lang w:val="en-GB" w:bidi="ar-AE"/>
        </w:rPr>
      </w:pPr>
      <w:r>
        <w:rPr>
          <w:rFonts w:hint="default" w:ascii="Times New Roman" w:hAnsi="Times New Roman" w:eastAsia="方正小标宋简体" w:cs="Times New Roman"/>
          <w:bCs/>
          <w:kern w:val="0"/>
          <w:sz w:val="44"/>
          <w:szCs w:val="44"/>
          <w:lang w:val="en-GB" w:bidi="ar-AE"/>
        </w:rPr>
        <w:t>经营者集中简易案件公示表</w:t>
      </w:r>
    </w:p>
    <w:tbl>
      <w:tblPr>
        <w:tblStyle w:val="5"/>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14:paraId="398D1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1940" w:type="dxa"/>
            <w:shd w:val="clear" w:color="auto" w:fill="auto"/>
            <w:vAlign w:val="center"/>
          </w:tcPr>
          <w:p w14:paraId="5E0FE008">
            <w:pPr>
              <w:pStyle w:val="3"/>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eastAsia" w:cs="宋体"/>
                <w:bCs/>
                <w:color w:val="000000"/>
                <w:sz w:val="24"/>
                <w:szCs w:val="24"/>
              </w:rPr>
              <w:t>案件名称</w:t>
            </w:r>
          </w:p>
        </w:tc>
        <w:tc>
          <w:tcPr>
            <w:tcW w:w="7700" w:type="dxa"/>
            <w:gridSpan w:val="2"/>
            <w:vAlign w:val="center"/>
          </w:tcPr>
          <w:p w14:paraId="66197848">
            <w:pPr>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sz w:val="24"/>
              </w:rPr>
              <w:t>广东省广业资源循环利用有限公司与韶关市金财投资集团有限公司新设合营企业案</w:t>
            </w:r>
            <w:bookmarkStart w:id="0" w:name="_GoBack"/>
            <w:bookmarkEnd w:id="0"/>
          </w:p>
        </w:tc>
      </w:tr>
      <w:tr w14:paraId="668F8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jc w:val="center"/>
        </w:trPr>
        <w:tc>
          <w:tcPr>
            <w:tcW w:w="1940" w:type="dxa"/>
            <w:shd w:val="clear" w:color="auto" w:fill="auto"/>
            <w:vAlign w:val="center"/>
          </w:tcPr>
          <w:p w14:paraId="41030A6D">
            <w:pPr>
              <w:pStyle w:val="3"/>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eastAsia" w:cs="宋体"/>
                <w:bCs/>
                <w:color w:val="000000"/>
                <w:sz w:val="24"/>
                <w:szCs w:val="24"/>
              </w:rPr>
              <w:t>交易概况（限200字内）</w:t>
            </w:r>
          </w:p>
        </w:tc>
        <w:tc>
          <w:tcPr>
            <w:tcW w:w="7700" w:type="dxa"/>
            <w:gridSpan w:val="2"/>
            <w:vAlign w:val="center"/>
          </w:tcPr>
          <w:p w14:paraId="7CB0E4D0">
            <w:pPr>
              <w:keepNext w:val="0"/>
              <w:keepLines w:val="0"/>
              <w:suppressLineNumbers w:val="0"/>
              <w:adjustRightInd w:val="0"/>
              <w:snapToGrid w:val="0"/>
              <w:spacing w:before="0" w:beforeAutospacing="0" w:after="0" w:afterAutospacing="0"/>
              <w:ind w:left="0" w:right="0"/>
              <w:jc w:val="both"/>
              <w:rPr>
                <w:rFonts w:hint="default" w:cs="宋体"/>
                <w:sz w:val="24"/>
                <w:szCs w:val="24"/>
              </w:rPr>
            </w:pPr>
            <w:r>
              <w:rPr>
                <w:rFonts w:hint="default"/>
                <w:bCs/>
                <w:color w:val="000000"/>
                <w:kern w:val="0"/>
                <w:sz w:val="24"/>
                <w:lang w:bidi="ar-AE"/>
              </w:rPr>
              <w:t>广东省广业资源循环利用有限公司</w:t>
            </w:r>
            <w:r>
              <w:rPr>
                <w:rFonts w:hint="default"/>
                <w:kern w:val="0"/>
                <w:sz w:val="24"/>
                <w:lang w:val="en-GB" w:bidi="ar-AE"/>
              </w:rPr>
              <w:t>（“</w:t>
            </w:r>
            <w:r>
              <w:rPr>
                <w:rFonts w:hint="eastAsia" w:cs="Times New Roman"/>
                <w:b w:val="0"/>
                <w:bCs/>
                <w:color w:val="000000"/>
                <w:kern w:val="0"/>
                <w:sz w:val="24"/>
                <w:szCs w:val="24"/>
                <w:lang w:val="en-US" w:eastAsia="zh-CN" w:bidi="ar-AE"/>
              </w:rPr>
              <w:t>广业资源</w:t>
            </w:r>
            <w:r>
              <w:rPr>
                <w:rFonts w:hint="default"/>
                <w:kern w:val="0"/>
                <w:sz w:val="24"/>
                <w:lang w:val="en-GB" w:bidi="ar-AE"/>
              </w:rPr>
              <w:t>”）与</w:t>
            </w:r>
            <w:r>
              <w:rPr>
                <w:rFonts w:hint="default"/>
                <w:bCs/>
                <w:color w:val="000000"/>
                <w:kern w:val="0"/>
                <w:sz w:val="24"/>
                <w:lang w:bidi="ar-AE"/>
              </w:rPr>
              <w:t>韶关市金财投资集团有限公司</w:t>
            </w:r>
            <w:r>
              <w:rPr>
                <w:rFonts w:hint="default"/>
                <w:kern w:val="0"/>
                <w:sz w:val="24"/>
                <w:lang w:val="en-GB" w:bidi="ar-AE"/>
              </w:rPr>
              <w:t>（“</w:t>
            </w:r>
            <w:r>
              <w:rPr>
                <w:rFonts w:hint="eastAsia" w:cs="Times New Roman"/>
                <w:b w:val="0"/>
                <w:bCs/>
                <w:color w:val="000000"/>
                <w:kern w:val="0"/>
                <w:sz w:val="24"/>
                <w:szCs w:val="24"/>
                <w:lang w:val="en-US" w:eastAsia="zh-CN" w:bidi="ar-AE"/>
              </w:rPr>
              <w:t>金财集团</w:t>
            </w:r>
            <w:r>
              <w:rPr>
                <w:rFonts w:hint="default"/>
                <w:kern w:val="0"/>
                <w:sz w:val="24"/>
                <w:lang w:val="en-GB" w:bidi="ar-AE"/>
              </w:rPr>
              <w:t>”）签署协议，拟在广东省</w:t>
            </w:r>
            <w:r>
              <w:rPr>
                <w:rFonts w:hint="eastAsia"/>
                <w:kern w:val="0"/>
                <w:sz w:val="24"/>
                <w:lang w:val="en-US" w:eastAsia="zh-CN" w:bidi="ar-AE"/>
              </w:rPr>
              <w:t>韶关</w:t>
            </w:r>
            <w:r>
              <w:rPr>
                <w:rFonts w:hint="default"/>
                <w:kern w:val="0"/>
                <w:sz w:val="24"/>
                <w:lang w:val="en-GB" w:bidi="ar-AE"/>
              </w:rPr>
              <w:t>市新设一家合营企业，主要从事再生资源回收交易平台服务和再生资源回收业务。交易后，</w:t>
            </w:r>
            <w:r>
              <w:rPr>
                <w:rFonts w:hint="eastAsia" w:cs="Times New Roman"/>
                <w:b w:val="0"/>
                <w:bCs/>
                <w:color w:val="000000"/>
                <w:kern w:val="0"/>
                <w:sz w:val="24"/>
                <w:szCs w:val="24"/>
                <w:lang w:val="en-US" w:eastAsia="zh-CN" w:bidi="ar-AE"/>
              </w:rPr>
              <w:t>广业资源</w:t>
            </w:r>
            <w:r>
              <w:rPr>
                <w:rFonts w:hint="default"/>
                <w:kern w:val="0"/>
                <w:sz w:val="24"/>
                <w:lang w:val="en-GB" w:bidi="ar-AE"/>
              </w:rPr>
              <w:t>和</w:t>
            </w:r>
            <w:r>
              <w:rPr>
                <w:rFonts w:hint="eastAsia" w:cs="Times New Roman"/>
                <w:b w:val="0"/>
                <w:bCs/>
                <w:color w:val="000000"/>
                <w:kern w:val="0"/>
                <w:sz w:val="24"/>
                <w:szCs w:val="24"/>
                <w:lang w:val="en-US" w:eastAsia="zh-CN" w:bidi="ar-AE"/>
              </w:rPr>
              <w:t>金财集团</w:t>
            </w:r>
            <w:r>
              <w:rPr>
                <w:rFonts w:hint="default"/>
                <w:kern w:val="0"/>
                <w:sz w:val="24"/>
                <w:lang w:val="en-GB" w:bidi="ar-AE"/>
              </w:rPr>
              <w:t>分别持有合营企业51%和49%的股权，共同控制合营企业。</w:t>
            </w:r>
          </w:p>
        </w:tc>
      </w:tr>
      <w:tr w14:paraId="7D9EE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4" w:hRule="atLeast"/>
          <w:jc w:val="center"/>
        </w:trPr>
        <w:tc>
          <w:tcPr>
            <w:tcW w:w="1940" w:type="dxa"/>
            <w:vMerge w:val="restart"/>
            <w:shd w:val="clear" w:color="auto" w:fill="auto"/>
            <w:vAlign w:val="center"/>
          </w:tcPr>
          <w:p w14:paraId="1EA6DAE1">
            <w:pPr>
              <w:pStyle w:val="3"/>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default" w:cs="宋体"/>
                <w:bCs/>
                <w:color w:val="000000"/>
                <w:sz w:val="24"/>
              </w:rPr>
              <w:t>参与集中的经营者简介（每个限100字以内）</w:t>
            </w:r>
          </w:p>
        </w:tc>
        <w:tc>
          <w:tcPr>
            <w:tcW w:w="1607" w:type="dxa"/>
            <w:vAlign w:val="center"/>
          </w:tcPr>
          <w:p w14:paraId="75C34478">
            <w:pPr>
              <w:pStyle w:val="3"/>
              <w:keepNext w:val="0"/>
              <w:keepLines w:val="0"/>
              <w:suppressLineNumbers w:val="0"/>
              <w:adjustRightInd w:val="0"/>
              <w:snapToGrid w:val="0"/>
              <w:spacing w:before="0" w:beforeAutospacing="0" w:after="0" w:afterAutospacing="0"/>
              <w:ind w:left="0" w:right="0"/>
              <w:rPr>
                <w:rFonts w:hint="default" w:eastAsia="宋体" w:cs="宋体"/>
                <w:bCs/>
                <w:color w:val="000000"/>
                <w:sz w:val="24"/>
                <w:szCs w:val="24"/>
                <w:lang w:val="en-US" w:eastAsia="zh-CN"/>
              </w:rPr>
            </w:pPr>
            <w:r>
              <w:rPr>
                <w:rFonts w:hint="eastAsia" w:cs="宋体"/>
                <w:bCs/>
                <w:color w:val="000000"/>
                <w:sz w:val="24"/>
                <w:szCs w:val="24"/>
                <w:lang w:val="en-US" w:eastAsia="zh-CN"/>
              </w:rPr>
              <w:t>1 .</w:t>
            </w:r>
            <w:r>
              <w:rPr>
                <w:rFonts w:hint="eastAsia"/>
                <w:sz w:val="24"/>
                <w:lang w:val="en-US" w:eastAsia="zh-CN"/>
              </w:rPr>
              <w:t>广业资源</w:t>
            </w:r>
          </w:p>
        </w:tc>
        <w:tc>
          <w:tcPr>
            <w:tcW w:w="6093" w:type="dxa"/>
            <w:vAlign w:val="center"/>
          </w:tcPr>
          <w:p w14:paraId="78D3487E">
            <w:pPr>
              <w:keepNext w:val="0"/>
              <w:keepLines w:val="0"/>
              <w:suppressLineNumbers w:val="0"/>
              <w:adjustRightInd w:val="0"/>
              <w:snapToGrid w:val="0"/>
              <w:spacing w:before="0" w:beforeAutospacing="0" w:after="0" w:afterAutospacing="0"/>
              <w:ind w:left="0" w:right="0"/>
              <w:rPr>
                <w:rFonts w:hint="eastAsia" w:cs="宋体"/>
                <w:bCs/>
                <w:color w:val="000000"/>
                <w:sz w:val="24"/>
              </w:rPr>
            </w:pPr>
            <w:r>
              <w:rPr>
                <w:rFonts w:hint="eastAsia" w:cs="宋体"/>
                <w:bCs/>
                <w:color w:val="000000"/>
                <w:sz w:val="24"/>
              </w:rPr>
              <w:t>广业资源于2024年4月24日成立于广东省广州市，主要从事再生资源回收处理、销售等业务。 </w:t>
            </w:r>
          </w:p>
          <w:p w14:paraId="5F652F58">
            <w:pPr>
              <w:keepNext w:val="0"/>
              <w:keepLines w:val="0"/>
              <w:suppressLineNumbers w:val="0"/>
              <w:adjustRightInd w:val="0"/>
              <w:snapToGrid w:val="0"/>
              <w:spacing w:before="0" w:beforeAutospacing="0" w:after="0" w:afterAutospacing="0"/>
              <w:ind w:left="0" w:right="0"/>
              <w:rPr>
                <w:rFonts w:hint="default" w:eastAsia="宋体"/>
                <w:sz w:val="24"/>
                <w:szCs w:val="24"/>
                <w:lang w:val="en-US" w:eastAsia="zh-CN"/>
              </w:rPr>
            </w:pPr>
            <w:r>
              <w:rPr>
                <w:rFonts w:hint="eastAsia" w:cs="宋体"/>
                <w:bCs/>
                <w:color w:val="000000"/>
                <w:sz w:val="24"/>
              </w:rPr>
              <w:t>广业资源最终控制人为广东省环保集团有限公司，主要从事环境综合治理、装备制造、化工产品生产及相关业务。</w:t>
            </w:r>
          </w:p>
        </w:tc>
      </w:tr>
      <w:tr w14:paraId="47B5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1" w:hRule="atLeast"/>
          <w:jc w:val="center"/>
        </w:trPr>
        <w:tc>
          <w:tcPr>
            <w:tcW w:w="1940" w:type="dxa"/>
            <w:vMerge w:val="continue"/>
            <w:shd w:val="clear" w:color="auto" w:fill="auto"/>
            <w:vAlign w:val="center"/>
          </w:tcPr>
          <w:p w14:paraId="235292C8">
            <w:pPr>
              <w:pStyle w:val="3"/>
              <w:keepNext w:val="0"/>
              <w:keepLines w:val="0"/>
              <w:suppressLineNumbers w:val="0"/>
              <w:adjustRightInd w:val="0"/>
              <w:snapToGrid w:val="0"/>
              <w:spacing w:before="0" w:beforeAutospacing="0" w:after="0" w:afterAutospacing="0"/>
              <w:ind w:left="0" w:right="0"/>
              <w:rPr>
                <w:rFonts w:hint="default"/>
              </w:rPr>
            </w:pPr>
          </w:p>
        </w:tc>
        <w:tc>
          <w:tcPr>
            <w:tcW w:w="1607" w:type="dxa"/>
            <w:vAlign w:val="center"/>
          </w:tcPr>
          <w:p w14:paraId="7BE46782">
            <w:pPr>
              <w:pStyle w:val="3"/>
              <w:keepNext w:val="0"/>
              <w:keepLines w:val="0"/>
              <w:suppressLineNumbers w:val="0"/>
              <w:adjustRightInd w:val="0"/>
              <w:snapToGrid w:val="0"/>
              <w:spacing w:before="0" w:beforeAutospacing="0" w:after="0" w:afterAutospacing="0"/>
              <w:ind w:left="0" w:right="0"/>
              <w:rPr>
                <w:rFonts w:hint="default" w:eastAsia="宋体" w:cs="宋体"/>
                <w:bCs/>
                <w:color w:val="000000"/>
                <w:sz w:val="24"/>
                <w:szCs w:val="24"/>
                <w:lang w:val="en-US" w:eastAsia="zh-CN"/>
              </w:rPr>
            </w:pPr>
            <w:r>
              <w:rPr>
                <w:rFonts w:hint="eastAsia" w:cs="宋体"/>
                <w:bCs/>
                <w:color w:val="000000"/>
                <w:sz w:val="24"/>
                <w:szCs w:val="24"/>
                <w:lang w:val="en-US" w:eastAsia="zh-CN"/>
              </w:rPr>
              <w:t>2 .</w:t>
            </w:r>
            <w:r>
              <w:rPr>
                <w:rFonts w:hint="eastAsia"/>
                <w:sz w:val="24"/>
                <w:lang w:val="en-US" w:eastAsia="zh-CN"/>
              </w:rPr>
              <w:t>金财集团</w:t>
            </w:r>
          </w:p>
        </w:tc>
        <w:tc>
          <w:tcPr>
            <w:tcW w:w="6093" w:type="dxa"/>
            <w:vAlign w:val="center"/>
          </w:tcPr>
          <w:p w14:paraId="3A65CE1C">
            <w:pPr>
              <w:pStyle w:val="3"/>
              <w:keepNext w:val="0"/>
              <w:keepLines w:val="0"/>
              <w:suppressLineNumbers w:val="0"/>
              <w:adjustRightInd w:val="0"/>
              <w:snapToGrid w:val="0"/>
              <w:spacing w:before="0" w:beforeAutospacing="0" w:after="0" w:afterAutospacing="0"/>
              <w:ind w:left="0" w:right="0"/>
              <w:rPr>
                <w:rFonts w:hint="eastAsia" w:cs="宋体"/>
                <w:bCs/>
                <w:color w:val="000000"/>
                <w:sz w:val="24"/>
              </w:rPr>
            </w:pPr>
            <w:r>
              <w:rPr>
                <w:rFonts w:hint="eastAsia" w:cs="宋体"/>
                <w:bCs/>
                <w:color w:val="000000"/>
                <w:sz w:val="24"/>
              </w:rPr>
              <w:t>金财集团于2015年12月18日成立于广东省韶关市，主要从事管道天然气和清洁能源开发、农业生产、资产经营管理、建筑和房地产等业务。</w:t>
            </w:r>
          </w:p>
          <w:p w14:paraId="23471D3C">
            <w:pPr>
              <w:pStyle w:val="3"/>
              <w:keepNext w:val="0"/>
              <w:keepLines w:val="0"/>
              <w:suppressLineNumbers w:val="0"/>
              <w:adjustRightInd w:val="0"/>
              <w:snapToGrid w:val="0"/>
              <w:spacing w:before="0" w:beforeAutospacing="0" w:after="0" w:afterAutospacing="0"/>
              <w:ind w:left="0" w:right="0"/>
              <w:rPr>
                <w:rFonts w:hint="eastAsia" w:cs="宋体"/>
                <w:bCs/>
                <w:color w:val="000000"/>
                <w:sz w:val="24"/>
                <w:szCs w:val="24"/>
              </w:rPr>
            </w:pPr>
            <w:r>
              <w:rPr>
                <w:rFonts w:hint="eastAsia" w:cs="宋体"/>
                <w:bCs/>
                <w:color w:val="000000"/>
                <w:sz w:val="24"/>
              </w:rPr>
              <w:t>金财集团最终控制人为韶关市产业投资控股集团有限公司，主要从事国有资产、国有股权运营、土地一级开发整理、城市基础设施投融资与建设等业务。</w:t>
            </w:r>
          </w:p>
        </w:tc>
      </w:tr>
      <w:tr w14:paraId="35805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center"/>
        </w:trPr>
        <w:tc>
          <w:tcPr>
            <w:tcW w:w="1940" w:type="dxa"/>
            <w:vMerge w:val="restart"/>
            <w:shd w:val="clear" w:color="auto" w:fill="auto"/>
            <w:vAlign w:val="center"/>
          </w:tcPr>
          <w:p w14:paraId="2272B153">
            <w:pPr>
              <w:pStyle w:val="3"/>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eastAsia" w:cs="宋体"/>
                <w:bCs/>
                <w:color w:val="000000"/>
                <w:sz w:val="24"/>
                <w:szCs w:val="24"/>
              </w:rPr>
              <w:t>简易案件理由（可以单选，也可以多选）</w:t>
            </w:r>
          </w:p>
        </w:tc>
        <w:tc>
          <w:tcPr>
            <w:tcW w:w="7700" w:type="dxa"/>
            <w:gridSpan w:val="2"/>
            <w:vAlign w:val="center"/>
          </w:tcPr>
          <w:p w14:paraId="11A3E10F">
            <w:pPr>
              <w:pStyle w:val="3"/>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1、在同一相关市场，所有参与集中的经营者所占市场份额之和小于15%。</w:t>
            </w:r>
          </w:p>
        </w:tc>
      </w:tr>
      <w:tr w14:paraId="2FAD5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940" w:type="dxa"/>
            <w:vMerge w:val="continue"/>
            <w:shd w:val="clear" w:color="auto" w:fill="auto"/>
            <w:vAlign w:val="center"/>
          </w:tcPr>
          <w:p w14:paraId="093BA02A">
            <w:pPr>
              <w:pStyle w:val="3"/>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14:paraId="1B18CCC5">
            <w:pPr>
              <w:pStyle w:val="3"/>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2、存在上下游关系的参与集中的经营者，在上下游市场所占的市场份额均小于25%。</w:t>
            </w:r>
          </w:p>
        </w:tc>
      </w:tr>
      <w:tr w14:paraId="32416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940" w:type="dxa"/>
            <w:vMerge w:val="continue"/>
            <w:shd w:val="clear" w:color="auto" w:fill="auto"/>
            <w:vAlign w:val="center"/>
          </w:tcPr>
          <w:p w14:paraId="5E5DEBBE">
            <w:pPr>
              <w:pStyle w:val="3"/>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14:paraId="00B7A8C4">
            <w:pPr>
              <w:pStyle w:val="3"/>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FE"/>
            </w:r>
            <w:r>
              <w:rPr>
                <w:rFonts w:hint="eastAsia" w:cs="宋体"/>
                <w:bCs/>
                <w:color w:val="000000"/>
                <w:sz w:val="24"/>
                <w:szCs w:val="24"/>
              </w:rPr>
              <w:t xml:space="preserve"> 3、不在同一相关市场、也不存在上下游关系的参与集中的经营者，在与交易有关的每个市场所占的份额均小于25%。</w:t>
            </w:r>
          </w:p>
        </w:tc>
      </w:tr>
      <w:tr w14:paraId="67B0F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1940" w:type="dxa"/>
            <w:vMerge w:val="continue"/>
            <w:shd w:val="clear" w:color="auto" w:fill="auto"/>
            <w:vAlign w:val="center"/>
          </w:tcPr>
          <w:p w14:paraId="2C699780">
            <w:pPr>
              <w:pStyle w:val="3"/>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14:paraId="557045CC">
            <w:pPr>
              <w:pStyle w:val="3"/>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4、参与集中的经营者在中国境外设立合营企业，合营企业不在中国境内从事经济活动。</w:t>
            </w:r>
          </w:p>
        </w:tc>
      </w:tr>
      <w:tr w14:paraId="7D7F5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1940" w:type="dxa"/>
            <w:vMerge w:val="continue"/>
            <w:shd w:val="clear" w:color="auto" w:fill="auto"/>
            <w:vAlign w:val="center"/>
          </w:tcPr>
          <w:p w14:paraId="02280EB4">
            <w:pPr>
              <w:pStyle w:val="3"/>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14:paraId="7AA25A5F">
            <w:pPr>
              <w:pStyle w:val="3"/>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5、参与集中的经营者收购境外企业股权或资产的，该境外企业不在中国境内从事经济活动。</w:t>
            </w:r>
          </w:p>
        </w:tc>
      </w:tr>
      <w:tr w14:paraId="55C23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940" w:type="dxa"/>
            <w:vMerge w:val="continue"/>
            <w:shd w:val="clear" w:color="auto" w:fill="auto"/>
            <w:vAlign w:val="center"/>
          </w:tcPr>
          <w:p w14:paraId="1E907555">
            <w:pPr>
              <w:pStyle w:val="3"/>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14:paraId="22DE9829">
            <w:pPr>
              <w:pStyle w:val="3"/>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6、由两个以上的经营者共同控制的合营企业，通过集中被其中一个或一个以上经营者控制。</w:t>
            </w:r>
          </w:p>
        </w:tc>
      </w:tr>
      <w:tr w14:paraId="61063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jc w:val="center"/>
        </w:trPr>
        <w:tc>
          <w:tcPr>
            <w:tcW w:w="1940" w:type="dxa"/>
            <w:shd w:val="clear" w:color="auto" w:fill="auto"/>
            <w:vAlign w:val="center"/>
          </w:tcPr>
          <w:p w14:paraId="2475BF53">
            <w:pPr>
              <w:pStyle w:val="3"/>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eastAsia" w:cs="宋体"/>
                <w:bCs/>
                <w:color w:val="000000"/>
                <w:sz w:val="24"/>
                <w:szCs w:val="24"/>
              </w:rPr>
              <w:t>备注</w:t>
            </w:r>
          </w:p>
        </w:tc>
        <w:tc>
          <w:tcPr>
            <w:tcW w:w="7700" w:type="dxa"/>
            <w:gridSpan w:val="2"/>
            <w:vAlign w:val="center"/>
          </w:tcPr>
          <w:p w14:paraId="47FE7E6A">
            <w:pPr>
              <w:pStyle w:val="3"/>
              <w:keepNext w:val="0"/>
              <w:keepLines w:val="0"/>
              <w:suppressLineNumbers w:val="0"/>
              <w:adjustRightInd w:val="0"/>
              <w:snapToGrid w:val="0"/>
              <w:spacing w:before="0" w:beforeAutospacing="0" w:afterAutospacing="0" w:line="240" w:lineRule="auto"/>
              <w:ind w:left="0" w:right="0"/>
              <w:jc w:val="both"/>
              <w:rPr>
                <w:rFonts w:hint="eastAsia" w:eastAsia="宋体" w:cs="Times New Roman"/>
                <w:b/>
                <w:bCs w:val="0"/>
                <w:color w:val="000000"/>
                <w:kern w:val="0"/>
                <w:sz w:val="24"/>
                <w:lang w:bidi="ar-AE"/>
              </w:rPr>
            </w:pPr>
            <w:r>
              <w:rPr>
                <w:rFonts w:hint="eastAsia" w:cs="Times New Roman"/>
                <w:b/>
                <w:bCs w:val="0"/>
                <w:color w:val="000000"/>
                <w:kern w:val="0"/>
                <w:sz w:val="24"/>
                <w:lang w:eastAsia="zh-CN" w:bidi="ar-AE"/>
              </w:rPr>
              <w:t>混合集中：</w:t>
            </w:r>
          </w:p>
          <w:p w14:paraId="1FB4A32C">
            <w:pPr>
              <w:pStyle w:val="3"/>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Times New Roman" w:hAnsi="Times New Roman" w:cs="宋体"/>
                <w:b w:val="0"/>
                <w:bCs/>
                <w:color w:val="000000"/>
                <w:kern w:val="2"/>
                <w:sz w:val="24"/>
                <w:szCs w:val="24"/>
                <w:lang w:val="en-US" w:eastAsia="zh-CN" w:bidi="ar-AE"/>
              </w:rPr>
            </w:pPr>
            <w:r>
              <w:rPr>
                <w:rFonts w:hint="eastAsia" w:cs="宋体"/>
                <w:b w:val="0"/>
                <w:bCs/>
                <w:color w:val="000000"/>
                <w:kern w:val="2"/>
                <w:sz w:val="24"/>
                <w:szCs w:val="24"/>
                <w:lang w:val="en-US" w:eastAsia="zh-CN" w:bidi="ar-AE"/>
              </w:rPr>
              <w:t>2024年韶关市</w:t>
            </w:r>
            <w:r>
              <w:rPr>
                <w:rFonts w:hint="eastAsia" w:ascii="Times New Roman" w:hAnsi="Times New Roman" w:cs="宋体"/>
                <w:b w:val="0"/>
                <w:bCs/>
                <w:color w:val="000000"/>
                <w:kern w:val="2"/>
                <w:sz w:val="24"/>
                <w:szCs w:val="24"/>
                <w:lang w:val="en-US" w:eastAsia="zh-CN" w:bidi="ar-AE"/>
              </w:rPr>
              <w:t>再生资源回收交易平台服务市场</w:t>
            </w:r>
          </w:p>
          <w:p w14:paraId="69417829">
            <w:pPr>
              <w:pStyle w:val="3"/>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cs="宋体"/>
                <w:b w:val="0"/>
                <w:bCs/>
                <w:color w:val="000000"/>
                <w:kern w:val="2"/>
                <w:sz w:val="24"/>
                <w:szCs w:val="24"/>
                <w:lang w:val="en-US" w:eastAsia="zh-CN" w:bidi="ar-AE"/>
              </w:rPr>
            </w:pPr>
            <w:r>
              <w:rPr>
                <w:rFonts w:hint="eastAsia" w:cs="宋体"/>
                <w:b w:val="0"/>
                <w:bCs/>
                <w:color w:val="000000"/>
                <w:kern w:val="2"/>
                <w:sz w:val="24"/>
                <w:szCs w:val="24"/>
                <w:lang w:val="en-US" w:eastAsia="zh-CN" w:bidi="ar-AE"/>
              </w:rPr>
              <w:t>合营企业（预估）：0-5%</w:t>
            </w:r>
          </w:p>
          <w:p w14:paraId="00325C24">
            <w:pPr>
              <w:pStyle w:val="3"/>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left"/>
              <w:textAlignment w:val="auto"/>
              <w:rPr>
                <w:rFonts w:hint="eastAsia" w:ascii="Times New Roman" w:hAnsi="Times New Roman" w:cs="宋体"/>
                <w:b w:val="0"/>
                <w:bCs/>
                <w:color w:val="000000"/>
                <w:kern w:val="2"/>
                <w:sz w:val="24"/>
                <w:szCs w:val="24"/>
                <w:lang w:val="en-US" w:eastAsia="zh-CN" w:bidi="ar-AE"/>
              </w:rPr>
            </w:pPr>
            <w:r>
              <w:rPr>
                <w:rFonts w:hint="eastAsia" w:cs="宋体"/>
                <w:b w:val="0"/>
                <w:bCs/>
                <w:color w:val="000000"/>
                <w:kern w:val="2"/>
                <w:sz w:val="24"/>
                <w:szCs w:val="24"/>
                <w:lang w:val="en-US" w:eastAsia="zh-CN" w:bidi="ar-AE"/>
              </w:rPr>
              <w:t>2024年韶关市一般</w:t>
            </w:r>
            <w:r>
              <w:rPr>
                <w:rFonts w:hint="eastAsia" w:ascii="Times New Roman" w:hAnsi="Times New Roman" w:cs="宋体"/>
                <w:b w:val="0"/>
                <w:bCs/>
                <w:color w:val="000000"/>
                <w:kern w:val="2"/>
                <w:sz w:val="24"/>
                <w:szCs w:val="24"/>
                <w:lang w:val="en-US" w:eastAsia="zh-CN" w:bidi="ar-AE"/>
              </w:rPr>
              <w:t>再生资源回收市场</w:t>
            </w:r>
            <w:r>
              <w:rPr>
                <w:rFonts w:hint="eastAsia" w:cs="宋体"/>
                <w:b w:val="0"/>
                <w:bCs/>
                <w:color w:val="000000"/>
                <w:kern w:val="2"/>
                <w:sz w:val="24"/>
                <w:szCs w:val="24"/>
                <w:lang w:val="en-US" w:eastAsia="zh-CN" w:bidi="ar-AE"/>
              </w:rPr>
              <w:t>（不含报废汽车、危险废物）</w:t>
            </w:r>
          </w:p>
          <w:p w14:paraId="352A63F7">
            <w:pPr>
              <w:pStyle w:val="3"/>
              <w:keepNext w:val="0"/>
              <w:keepLines w:val="0"/>
              <w:suppressLineNumbers w:val="0"/>
              <w:adjustRightInd w:val="0"/>
              <w:snapToGrid w:val="0"/>
              <w:spacing w:before="0" w:beforeAutospacing="0" w:afterAutospacing="0"/>
              <w:ind w:left="0" w:right="0"/>
              <w:rPr>
                <w:rFonts w:hint="eastAsia" w:ascii="Times New Roman" w:hAnsi="Times New Roman" w:eastAsia="宋体" w:cs="宋体"/>
                <w:b w:val="0"/>
                <w:bCs/>
                <w:color w:val="000000"/>
                <w:sz w:val="24"/>
                <w:szCs w:val="24"/>
                <w:lang w:eastAsia="zh-CN" w:bidi="ar"/>
              </w:rPr>
            </w:pPr>
            <w:r>
              <w:rPr>
                <w:rFonts w:hint="eastAsia" w:cs="宋体"/>
                <w:b w:val="0"/>
                <w:bCs/>
                <w:color w:val="000000"/>
                <w:kern w:val="2"/>
                <w:sz w:val="24"/>
                <w:szCs w:val="24"/>
                <w:lang w:val="en-US" w:eastAsia="zh-CN" w:bidi="ar-AE"/>
              </w:rPr>
              <w:t>合营企业（预估）：0-5%</w:t>
            </w:r>
          </w:p>
        </w:tc>
      </w:tr>
    </w:tbl>
    <w:p w14:paraId="0576AFD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34"/>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10601030101010101"/>
    <w:charset w:val="86"/>
    <w:family w:val="script"/>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0A583D"/>
    <w:rsid w:val="220A583D"/>
    <w:rsid w:val="66AB0A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Normal Indent"/>
    <w:basedOn w:val="1"/>
    <w:next w:val="1"/>
    <w:qFormat/>
    <w:uiPriority w:val="99"/>
  </w:style>
  <w:style w:type="paragraph" w:styleId="3">
    <w:name w:val="Body Text"/>
    <w:basedOn w:val="1"/>
    <w:next w:val="4"/>
    <w:unhideWhenUsed/>
    <w:qFormat/>
    <w:uiPriority w:val="99"/>
    <w:pPr>
      <w:spacing w:after="120"/>
    </w:pPr>
  </w:style>
  <w:style w:type="paragraph" w:styleId="4">
    <w:name w:val="Body Text First Indent"/>
    <w:basedOn w:val="3"/>
    <w:qFormat/>
    <w:uiPriority w:val="0"/>
    <w:pPr>
      <w:ind w:firstLine="420" w:firstLineChars="1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省市场监督管理局</Company>
  <Pages>1</Pages>
  <Words>780</Words>
  <Characters>815</Characters>
  <Lines>0</Lines>
  <Paragraphs>0</Paragraphs>
  <TotalTime>0</TotalTime>
  <ScaleCrop>false</ScaleCrop>
  <LinksUpToDate>false</LinksUpToDate>
  <CharactersWithSpaces>824</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2025-09-23T09:40:00Z</dcterms:created>
  <dc:creator>胡翌婧</dc:creator>
  <cp:lastModifiedBy>胡翌婧</cp:lastModifiedBy>
  <dcterms:modified xsi:type="dcterms:W3CDTF">2025-09-23T09:43:16Z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6D04C4279C644EE9BA27D9D79A2D556C_11</vt:lpwstr>
  </property>
  <property fmtid="{D5CDD505-2E9C-101B-9397-08002B2CF9AE}" pid="4" name="KSOTemplateDocerSaveRecord">
    <vt:lpwstr>eyJoZGlkIjoiODNjM2VkZWUwYjdkZDYzZGY2NmZiZGNiZGIyMjFjYWIiLCJ1c2VySWQiOiIyNDQ2MzYxMzgifQ==</vt:lpwstr>
  </property>
</Properties>
</file>