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8EFAB">
      <w:pPr>
        <w:widowControl/>
        <w:spacing w:after="240"/>
        <w:jc w:val="center"/>
        <w:rPr>
          <w:rFonts w:hint="eastAsia" w:ascii="方正小标宋简体" w:hAnsi="方正小标宋简体" w:eastAsia="方正小标宋简体" w:cs="方正小标宋简体"/>
          <w:bCs/>
          <w:kern w:val="0"/>
          <w:sz w:val="44"/>
          <w:szCs w:val="44"/>
          <w:lang w:val="en-GB" w:bidi="ar-AE"/>
        </w:rPr>
      </w:pPr>
      <w:r>
        <w:rPr>
          <w:rFonts w:hint="eastAsia" w:ascii="方正小标宋简体" w:hAnsi="方正小标宋简体" w:eastAsia="方正小标宋简体" w:cs="方正小标宋简体"/>
          <w:bCs/>
          <w:kern w:val="0"/>
          <w:sz w:val="44"/>
          <w:szCs w:val="44"/>
          <w:lang w:val="en-GB" w:bidi="ar-AE"/>
        </w:rPr>
        <w:t>经营者集中简易案件公示表</w:t>
      </w:r>
      <w:bookmarkStart w:id="0" w:name="_GoBack"/>
      <w:bookmarkEnd w:id="0"/>
    </w:p>
    <w:tbl>
      <w:tblPr>
        <w:tblStyle w:val="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4C31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14:paraId="4F957AC9">
            <w:pPr>
              <w:adjustRightInd w:val="0"/>
              <w:snapToGrid w:val="0"/>
              <w:spacing w:after="0"/>
              <w:jc w:val="both"/>
              <w:rPr>
                <w:rFonts w:hint="eastAsia" w:ascii="宋体" w:hAnsi="宋体" w:eastAsia="宋体" w:cs="宋体"/>
                <w:bCs/>
                <w:color w:val="000000"/>
                <w:sz w:val="24"/>
                <w:szCs w:val="24"/>
                <w:lang w:val="en-US" w:eastAsia="en-GB" w:bidi="ar-AE"/>
              </w:rPr>
            </w:pPr>
            <w:r>
              <w:rPr>
                <w:rFonts w:hint="eastAsia" w:ascii="宋体" w:hAnsi="宋体" w:eastAsia="宋体" w:cs="宋体"/>
                <w:bCs/>
                <w:color w:val="000000"/>
                <w:sz w:val="24"/>
                <w:szCs w:val="24"/>
                <w:lang w:val="en-GB" w:eastAsia="en-GB" w:bidi="ar-AE"/>
              </w:rPr>
              <w:t>案件名称</w:t>
            </w:r>
          </w:p>
        </w:tc>
        <w:tc>
          <w:tcPr>
            <w:tcW w:w="7700" w:type="dxa"/>
            <w:gridSpan w:val="2"/>
            <w:noWrap w:val="0"/>
            <w:vAlign w:val="center"/>
          </w:tcPr>
          <w:p w14:paraId="3A8F0832">
            <w:pPr>
              <w:widowControl/>
              <w:adjustRightInd w:val="0"/>
              <w:snapToGrid w:val="0"/>
              <w:rPr>
                <w:rFonts w:hint="eastAsia" w:ascii="宋体" w:hAnsi="宋体" w:eastAsia="宋体" w:cs="宋体"/>
                <w:bCs/>
                <w:color w:val="000000"/>
                <w:kern w:val="0"/>
                <w:sz w:val="24"/>
                <w:lang w:bidi="ar-AE"/>
              </w:rPr>
            </w:pPr>
            <w:r>
              <w:rPr>
                <w:rFonts w:hint="eastAsia" w:ascii="宋体" w:hAnsi="宋体" w:eastAsia="宋体" w:cs="宋体"/>
                <w:bCs/>
                <w:color w:val="000000"/>
                <w:kern w:val="0"/>
                <w:sz w:val="24"/>
                <w:lang w:bidi="ar-AE"/>
              </w:rPr>
              <w:t>深圳市宝安区产业投资引导基金有限公司与深圳市赛米产业私募股权投资基金合伙企业（有限合伙）等经营者新设合营企业案</w:t>
            </w:r>
          </w:p>
        </w:tc>
      </w:tr>
      <w:tr w14:paraId="5B044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14:paraId="194D7E37">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GB" w:eastAsia="zh-CN" w:bidi="ar-AE"/>
              </w:rPr>
              <w:t>交易概况（限200字内）</w:t>
            </w:r>
          </w:p>
        </w:tc>
        <w:tc>
          <w:tcPr>
            <w:tcW w:w="7700" w:type="dxa"/>
            <w:gridSpan w:val="2"/>
            <w:noWrap w:val="0"/>
            <w:vAlign w:val="center"/>
          </w:tcPr>
          <w:p w14:paraId="3186A5FE">
            <w:pPr>
              <w:adjustRightInd w:val="0"/>
              <w:snapToGrid w:val="0"/>
              <w:rPr>
                <w:rFonts w:ascii="宋体" w:hAnsi="宋体" w:eastAsia="宋体" w:cs="宋体"/>
                <w:kern w:val="0"/>
                <w:sz w:val="24"/>
                <w:lang w:bidi="ar-AE"/>
              </w:rPr>
            </w:pPr>
            <w:r>
              <w:rPr>
                <w:rFonts w:hint="eastAsia" w:ascii="宋体" w:hAnsi="宋体" w:eastAsia="宋体" w:cs="宋体"/>
                <w:bCs/>
                <w:color w:val="000000"/>
                <w:kern w:val="0"/>
                <w:sz w:val="24"/>
                <w:lang w:bidi="ar-AE"/>
              </w:rPr>
              <w:t>深圳市宝安区产业投资引导基金有限公司</w:t>
            </w:r>
            <w:r>
              <w:rPr>
                <w:rFonts w:hint="eastAsia" w:ascii="宋体" w:hAnsi="宋体" w:eastAsia="宋体" w:cs="宋体"/>
                <w:kern w:val="0"/>
                <w:sz w:val="24"/>
                <w:lang w:val="en-GB" w:bidi="ar-AE"/>
              </w:rPr>
              <w:t>（“</w:t>
            </w:r>
            <w:r>
              <w:rPr>
                <w:rFonts w:hint="eastAsia" w:ascii="宋体" w:hAnsi="宋体" w:eastAsia="宋体" w:cs="宋体"/>
                <w:bCs/>
                <w:color w:val="000000"/>
                <w:kern w:val="0"/>
                <w:sz w:val="24"/>
                <w:lang w:val="en-US" w:eastAsia="zh-CN" w:bidi="ar-AE"/>
              </w:rPr>
              <w:t>宝安引导基金</w:t>
            </w:r>
            <w:r>
              <w:rPr>
                <w:rFonts w:hint="eastAsia" w:ascii="宋体" w:hAnsi="宋体" w:eastAsia="宋体" w:cs="宋体"/>
                <w:kern w:val="0"/>
                <w:sz w:val="24"/>
                <w:lang w:val="en-GB" w:bidi="ar-AE"/>
              </w:rPr>
              <w:t>”）</w:t>
            </w:r>
            <w:r>
              <w:rPr>
                <w:rFonts w:hint="eastAsia" w:ascii="宋体" w:hAnsi="宋体" w:eastAsia="宋体" w:cs="宋体"/>
                <w:kern w:val="0"/>
                <w:sz w:val="24"/>
                <w:lang w:bidi="ar-AE"/>
              </w:rPr>
              <w:t>与深圳市赛米产业私募股权投资基金合伙企业(有限合伙)</w:t>
            </w:r>
            <w:r>
              <w:rPr>
                <w:rFonts w:hint="eastAsia" w:ascii="宋体" w:hAnsi="宋体" w:eastAsia="宋体" w:cs="宋体"/>
                <w:kern w:val="0"/>
                <w:sz w:val="24"/>
                <w:lang w:eastAsia="zh-CN" w:bidi="ar-AE"/>
              </w:rPr>
              <w:t>（“</w:t>
            </w:r>
            <w:r>
              <w:rPr>
                <w:rFonts w:hint="eastAsia" w:ascii="宋体" w:hAnsi="宋体" w:eastAsia="宋体" w:cs="宋体"/>
                <w:kern w:val="0"/>
                <w:sz w:val="24"/>
                <w:lang w:val="en-US" w:eastAsia="zh-CN" w:bidi="ar-AE"/>
              </w:rPr>
              <w:t>赛米基金</w:t>
            </w:r>
            <w:r>
              <w:rPr>
                <w:rFonts w:hint="eastAsia" w:ascii="宋体" w:hAnsi="宋体" w:eastAsia="宋体" w:cs="宋体"/>
                <w:kern w:val="0"/>
                <w:sz w:val="24"/>
                <w:lang w:eastAsia="zh-CN" w:bidi="ar-AE"/>
              </w:rPr>
              <w:t>”）</w:t>
            </w:r>
            <w:r>
              <w:rPr>
                <w:rFonts w:hint="eastAsia" w:ascii="宋体" w:hAnsi="宋体" w:eastAsia="宋体" w:cs="宋体"/>
                <w:kern w:val="0"/>
                <w:sz w:val="24"/>
                <w:lang w:val="en-GB" w:bidi="ar-AE"/>
              </w:rPr>
              <w:t>、</w:t>
            </w:r>
            <w:r>
              <w:rPr>
                <w:rFonts w:hint="eastAsia" w:ascii="宋体" w:hAnsi="宋体" w:eastAsia="宋体" w:cs="宋体"/>
                <w:kern w:val="0"/>
                <w:sz w:val="24"/>
                <w:lang w:bidi="ar-AE"/>
              </w:rPr>
              <w:t>深圳市前海江丰同创企业管理合伙企业(有限合伙)</w:t>
            </w:r>
            <w:r>
              <w:rPr>
                <w:rFonts w:hint="eastAsia" w:ascii="宋体" w:hAnsi="宋体" w:eastAsia="宋体" w:cs="宋体"/>
                <w:kern w:val="0"/>
                <w:sz w:val="24"/>
                <w:lang w:eastAsia="zh-CN" w:bidi="ar-AE"/>
              </w:rPr>
              <w:t>（“</w:t>
            </w:r>
            <w:r>
              <w:rPr>
                <w:rFonts w:hint="eastAsia" w:ascii="宋体" w:hAnsi="宋体" w:eastAsia="宋体" w:cs="宋体"/>
                <w:kern w:val="0"/>
                <w:sz w:val="24"/>
                <w:lang w:val="en-US" w:eastAsia="zh-CN" w:bidi="ar-AE"/>
              </w:rPr>
              <w:t>前海江丰</w:t>
            </w:r>
            <w:r>
              <w:rPr>
                <w:rFonts w:hint="eastAsia" w:ascii="宋体" w:hAnsi="宋体" w:eastAsia="宋体" w:cs="宋体"/>
                <w:kern w:val="0"/>
                <w:sz w:val="24"/>
                <w:lang w:eastAsia="zh-CN" w:bidi="ar-AE"/>
              </w:rPr>
              <w:t>”）签订协议，拟共同新设合营企业，主要从事半导体零部件研发服务</w:t>
            </w:r>
            <w:r>
              <w:rPr>
                <w:rFonts w:hint="eastAsia" w:ascii="宋体" w:hAnsi="宋体" w:eastAsia="宋体" w:cs="宋体"/>
                <w:kern w:val="0"/>
                <w:sz w:val="24"/>
                <w:lang w:val="en-US" w:eastAsia="zh-CN" w:bidi="ar-AE"/>
              </w:rPr>
              <w:t>业务</w:t>
            </w:r>
            <w:r>
              <w:rPr>
                <w:rFonts w:hint="eastAsia" w:ascii="宋体" w:hAnsi="宋体" w:eastAsia="宋体" w:cs="宋体"/>
                <w:kern w:val="0"/>
                <w:sz w:val="24"/>
                <w:lang w:eastAsia="zh-CN" w:bidi="ar-AE"/>
              </w:rPr>
              <w:t>。交易后，</w:t>
            </w:r>
            <w:r>
              <w:rPr>
                <w:rFonts w:hint="eastAsia" w:ascii="宋体" w:hAnsi="宋体" w:eastAsia="宋体" w:cs="宋体"/>
                <w:bCs/>
                <w:color w:val="000000"/>
                <w:kern w:val="0"/>
                <w:sz w:val="24"/>
                <w:lang w:val="en-US" w:eastAsia="zh-CN" w:bidi="ar-AE"/>
              </w:rPr>
              <w:t>宝安引导基金</w:t>
            </w:r>
            <w:r>
              <w:rPr>
                <w:rFonts w:hint="eastAsia" w:ascii="宋体" w:hAnsi="宋体" w:eastAsia="宋体" w:cs="宋体"/>
                <w:kern w:val="0"/>
                <w:sz w:val="24"/>
                <w:lang w:eastAsia="zh-CN" w:bidi="ar-AE"/>
              </w:rPr>
              <w:t>、</w:t>
            </w:r>
            <w:r>
              <w:rPr>
                <w:rFonts w:hint="eastAsia" w:ascii="宋体" w:hAnsi="宋体" w:eastAsia="宋体" w:cs="宋体"/>
                <w:kern w:val="0"/>
                <w:sz w:val="24"/>
                <w:lang w:val="en-US" w:eastAsia="zh-CN" w:bidi="ar-AE"/>
              </w:rPr>
              <w:t>赛米基金</w:t>
            </w:r>
            <w:r>
              <w:rPr>
                <w:rFonts w:hint="eastAsia" w:ascii="宋体" w:hAnsi="宋体" w:eastAsia="宋体" w:cs="宋体"/>
                <w:kern w:val="0"/>
                <w:sz w:val="24"/>
                <w:lang w:eastAsia="zh-CN" w:bidi="ar-AE"/>
              </w:rPr>
              <w:t>、</w:t>
            </w:r>
            <w:r>
              <w:rPr>
                <w:rFonts w:hint="eastAsia" w:ascii="宋体" w:hAnsi="宋体" w:eastAsia="宋体" w:cs="宋体"/>
                <w:kern w:val="0"/>
                <w:sz w:val="24"/>
                <w:lang w:val="en-US" w:eastAsia="zh-CN" w:bidi="ar-AE"/>
              </w:rPr>
              <w:t>前海江丰</w:t>
            </w:r>
            <w:r>
              <w:rPr>
                <w:rFonts w:hint="eastAsia" w:ascii="宋体" w:hAnsi="宋体" w:eastAsia="宋体" w:cs="宋体"/>
                <w:kern w:val="0"/>
                <w:sz w:val="24"/>
                <w:lang w:eastAsia="zh-CN" w:bidi="ar-AE"/>
              </w:rPr>
              <w:t>分别持有合营企业</w:t>
            </w:r>
            <w:r>
              <w:rPr>
                <w:rFonts w:hint="eastAsia" w:ascii="宋体" w:hAnsi="宋体" w:eastAsia="宋体" w:cs="宋体"/>
                <w:kern w:val="0"/>
                <w:sz w:val="24"/>
                <w:lang w:val="en-US" w:eastAsia="zh-CN" w:bidi="ar-AE"/>
              </w:rPr>
              <w:t>36</w:t>
            </w:r>
            <w:r>
              <w:rPr>
                <w:rFonts w:hint="eastAsia" w:ascii="宋体" w:hAnsi="宋体" w:eastAsia="宋体" w:cs="宋体"/>
                <w:kern w:val="0"/>
                <w:sz w:val="24"/>
                <w:lang w:eastAsia="zh-CN" w:bidi="ar-AE"/>
              </w:rPr>
              <w:t>%、</w:t>
            </w:r>
            <w:r>
              <w:rPr>
                <w:rFonts w:hint="eastAsia" w:ascii="宋体" w:hAnsi="宋体" w:eastAsia="宋体" w:cs="宋体"/>
                <w:kern w:val="0"/>
                <w:sz w:val="24"/>
                <w:lang w:val="en-US" w:eastAsia="zh-CN" w:bidi="ar-AE"/>
              </w:rPr>
              <w:t>32</w:t>
            </w:r>
            <w:r>
              <w:rPr>
                <w:rFonts w:hint="eastAsia" w:ascii="宋体" w:hAnsi="宋体" w:eastAsia="宋体" w:cs="宋体"/>
                <w:kern w:val="0"/>
                <w:sz w:val="24"/>
                <w:lang w:eastAsia="zh-CN" w:bidi="ar-AE"/>
              </w:rPr>
              <w:t>%、</w:t>
            </w:r>
            <w:r>
              <w:rPr>
                <w:rFonts w:hint="eastAsia" w:ascii="宋体" w:hAnsi="宋体" w:eastAsia="宋体" w:cs="宋体"/>
                <w:kern w:val="0"/>
                <w:sz w:val="24"/>
                <w:lang w:val="en-US" w:eastAsia="zh-CN" w:bidi="ar-AE"/>
              </w:rPr>
              <w:t>32</w:t>
            </w:r>
            <w:r>
              <w:rPr>
                <w:rFonts w:hint="eastAsia" w:ascii="宋体" w:hAnsi="宋体" w:eastAsia="宋体" w:cs="宋体"/>
                <w:kern w:val="0"/>
                <w:sz w:val="24"/>
                <w:lang w:eastAsia="zh-CN" w:bidi="ar-AE"/>
              </w:rPr>
              <w:t>%的股权，共同控制合营企业。</w:t>
            </w:r>
          </w:p>
        </w:tc>
      </w:tr>
      <w:tr w14:paraId="503A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14:paraId="412AE35A">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GB" w:eastAsia="zh-CN" w:bidi="ar-AE"/>
              </w:rPr>
              <w:t>参与集中的经营者简介（每个限</w:t>
            </w:r>
            <w:r>
              <w:rPr>
                <w:rFonts w:ascii="宋体" w:hAnsi="宋体" w:eastAsia="宋体" w:cs="宋体"/>
                <w:bCs/>
                <w:color w:val="000000"/>
                <w:sz w:val="24"/>
                <w:szCs w:val="24"/>
                <w:lang w:val="en-US" w:eastAsia="zh-CN" w:bidi="ar-AE"/>
              </w:rPr>
              <w:t>100</w:t>
            </w:r>
            <w:r>
              <w:rPr>
                <w:rFonts w:hint="eastAsia" w:ascii="宋体" w:hAnsi="宋体" w:eastAsia="宋体" w:cs="宋体"/>
                <w:bCs/>
                <w:color w:val="000000"/>
                <w:sz w:val="24"/>
                <w:szCs w:val="24"/>
                <w:lang w:val="en-US" w:eastAsia="zh-CN" w:bidi="ar-AE"/>
              </w:rPr>
              <w:t>字以内</w:t>
            </w:r>
            <w:r>
              <w:rPr>
                <w:rFonts w:hint="eastAsia" w:ascii="宋体" w:hAnsi="宋体" w:eastAsia="宋体" w:cs="宋体"/>
                <w:bCs/>
                <w:color w:val="000000"/>
                <w:sz w:val="24"/>
                <w:szCs w:val="24"/>
                <w:lang w:val="en-GB" w:eastAsia="zh-CN" w:bidi="ar-AE"/>
              </w:rPr>
              <w:t>）</w:t>
            </w:r>
          </w:p>
        </w:tc>
        <w:tc>
          <w:tcPr>
            <w:tcW w:w="1607" w:type="dxa"/>
            <w:noWrap w:val="0"/>
            <w:vAlign w:val="center"/>
          </w:tcPr>
          <w:p w14:paraId="793E600B">
            <w:pPr>
              <w:adjustRightInd w:val="0"/>
              <w:snapToGrid w:val="0"/>
              <w:spacing w:after="0"/>
              <w:jc w:val="both"/>
              <w:rPr>
                <w:rFonts w:hint="eastAsia" w:ascii="宋体" w:hAnsi="宋体" w:eastAsia="宋体" w:cs="宋体"/>
                <w:bCs/>
                <w:color w:val="000000"/>
                <w:sz w:val="24"/>
                <w:szCs w:val="24"/>
                <w:lang w:val="en-GB" w:eastAsia="zh-CN" w:bidi="ar-AE"/>
              </w:rPr>
            </w:pPr>
            <w:r>
              <w:rPr>
                <w:rFonts w:hint="eastAsia" w:ascii="宋体" w:hAnsi="宋体" w:eastAsia="宋体" w:cs="宋体"/>
                <w:bCs/>
                <w:color w:val="000000"/>
                <w:sz w:val="24"/>
                <w:szCs w:val="24"/>
                <w:lang w:val="en-US" w:eastAsia="zh-CN" w:bidi="ar-AE"/>
              </w:rPr>
              <w:t>1.</w:t>
            </w:r>
            <w:r>
              <w:rPr>
                <w:rFonts w:hint="eastAsia" w:ascii="宋体" w:hAnsi="宋体" w:eastAsia="宋体" w:cs="宋体"/>
                <w:bCs/>
                <w:color w:val="000000"/>
                <w:kern w:val="0"/>
                <w:sz w:val="24"/>
                <w:szCs w:val="24"/>
                <w:lang w:val="en-US" w:eastAsia="zh-CN" w:bidi="ar-AE"/>
              </w:rPr>
              <w:t>宝安引导基金</w:t>
            </w:r>
          </w:p>
        </w:tc>
        <w:tc>
          <w:tcPr>
            <w:tcW w:w="6093" w:type="dxa"/>
            <w:noWrap w:val="0"/>
            <w:vAlign w:val="center"/>
          </w:tcPr>
          <w:p w14:paraId="773F5D0B">
            <w:pPr>
              <w:widowControl/>
              <w:adjustRightInd w:val="0"/>
              <w:snapToGrid w:val="0"/>
              <w:rPr>
                <w:rFonts w:ascii="宋体" w:hAnsi="宋体" w:eastAsia="宋体" w:cs="宋体"/>
                <w:bCs/>
                <w:color w:val="000000"/>
                <w:kern w:val="0"/>
                <w:sz w:val="24"/>
                <w:lang w:val="en-GB" w:bidi="ar-AE"/>
              </w:rPr>
            </w:pPr>
            <w:r>
              <w:rPr>
                <w:rFonts w:hint="eastAsia" w:ascii="宋体" w:hAnsi="宋体" w:eastAsia="宋体" w:cs="宋体"/>
                <w:bCs/>
                <w:color w:val="000000"/>
                <w:kern w:val="0"/>
                <w:sz w:val="24"/>
                <w:lang w:val="en-US" w:eastAsia="zh-CN" w:bidi="ar-AE"/>
              </w:rPr>
              <w:t>宝安引导基金</w:t>
            </w:r>
            <w:r>
              <w:rPr>
                <w:rFonts w:hint="eastAsia" w:ascii="宋体" w:hAnsi="宋体" w:eastAsia="宋体" w:cs="宋体"/>
                <w:bCs/>
                <w:color w:val="000000"/>
                <w:kern w:val="0"/>
                <w:sz w:val="24"/>
                <w:lang w:val="en-GB" w:bidi="ar-AE"/>
              </w:rPr>
              <w:t>于</w:t>
            </w:r>
            <w:r>
              <w:rPr>
                <w:rFonts w:hint="eastAsia" w:ascii="宋体" w:hAnsi="宋体" w:eastAsia="宋体" w:cs="宋体"/>
                <w:bCs/>
                <w:color w:val="000000"/>
                <w:kern w:val="0"/>
                <w:sz w:val="24"/>
                <w:lang w:val="en-US" w:eastAsia="zh-CN" w:bidi="ar-AE"/>
              </w:rPr>
              <w:t>2015</w:t>
            </w:r>
            <w:r>
              <w:rPr>
                <w:rFonts w:hint="eastAsia" w:ascii="宋体" w:hAnsi="宋体" w:eastAsia="宋体" w:cs="宋体"/>
                <w:bCs/>
                <w:color w:val="000000"/>
                <w:kern w:val="0"/>
                <w:sz w:val="24"/>
                <w:lang w:val="en-GB" w:bidi="ar-AE"/>
              </w:rPr>
              <w:t>年1</w:t>
            </w:r>
            <w:r>
              <w:rPr>
                <w:rFonts w:hint="eastAsia" w:ascii="宋体" w:hAnsi="宋体" w:eastAsia="宋体" w:cs="宋体"/>
                <w:bCs/>
                <w:color w:val="000000"/>
                <w:kern w:val="0"/>
                <w:sz w:val="24"/>
                <w:lang w:val="en-US" w:eastAsia="zh-CN" w:bidi="ar-AE"/>
              </w:rPr>
              <w:t>2</w:t>
            </w:r>
            <w:r>
              <w:rPr>
                <w:rFonts w:hint="eastAsia" w:ascii="宋体" w:hAnsi="宋体" w:eastAsia="宋体" w:cs="宋体"/>
                <w:bCs/>
                <w:color w:val="000000"/>
                <w:kern w:val="0"/>
                <w:sz w:val="24"/>
                <w:lang w:val="en-GB" w:bidi="ar-AE"/>
              </w:rPr>
              <w:t>月</w:t>
            </w:r>
            <w:r>
              <w:rPr>
                <w:rFonts w:hint="eastAsia" w:ascii="宋体" w:hAnsi="宋体" w:eastAsia="宋体" w:cs="宋体"/>
                <w:bCs/>
                <w:color w:val="000000"/>
                <w:kern w:val="0"/>
                <w:sz w:val="24"/>
                <w:lang w:val="en-US" w:eastAsia="zh-CN" w:bidi="ar-AE"/>
              </w:rPr>
              <w:t>0</w:t>
            </w:r>
            <w:r>
              <w:rPr>
                <w:rFonts w:hint="eastAsia" w:ascii="宋体" w:hAnsi="宋体" w:eastAsia="宋体" w:cs="宋体"/>
                <w:bCs/>
                <w:color w:val="000000"/>
                <w:kern w:val="0"/>
                <w:sz w:val="24"/>
                <w:lang w:val="en-GB" w:bidi="ar-AE"/>
              </w:rPr>
              <w:t>4日成立于</w:t>
            </w:r>
            <w:r>
              <w:rPr>
                <w:rFonts w:hint="eastAsia" w:ascii="宋体" w:hAnsi="宋体" w:eastAsia="宋体" w:cs="宋体"/>
                <w:bCs/>
                <w:color w:val="000000"/>
                <w:kern w:val="0"/>
                <w:sz w:val="24"/>
                <w:lang w:val="en-US" w:eastAsia="zh-CN" w:bidi="ar-AE"/>
              </w:rPr>
              <w:t>广东</w:t>
            </w:r>
            <w:r>
              <w:rPr>
                <w:rFonts w:hint="eastAsia" w:ascii="宋体" w:hAnsi="宋体" w:eastAsia="宋体" w:cs="宋体"/>
                <w:bCs/>
                <w:color w:val="000000"/>
                <w:kern w:val="0"/>
                <w:sz w:val="24"/>
                <w:lang w:val="en-GB" w:bidi="ar-AE"/>
              </w:rPr>
              <w:t>省</w:t>
            </w:r>
            <w:r>
              <w:rPr>
                <w:rFonts w:hint="eastAsia" w:ascii="宋体" w:hAnsi="宋体" w:eastAsia="宋体" w:cs="宋体"/>
                <w:bCs/>
                <w:color w:val="000000"/>
                <w:kern w:val="0"/>
                <w:sz w:val="24"/>
                <w:lang w:val="en-US" w:eastAsia="zh-CN" w:bidi="ar-AE"/>
              </w:rPr>
              <w:t>深圳</w:t>
            </w:r>
            <w:r>
              <w:rPr>
                <w:rFonts w:hint="eastAsia" w:ascii="宋体" w:hAnsi="宋体" w:eastAsia="宋体" w:cs="宋体"/>
                <w:bCs/>
                <w:color w:val="000000"/>
                <w:kern w:val="0"/>
                <w:sz w:val="24"/>
                <w:lang w:val="en-GB" w:bidi="ar-AE"/>
              </w:rPr>
              <w:t>市，主要业务为以自有资金从事投资活动等。</w:t>
            </w:r>
          </w:p>
          <w:p w14:paraId="3356DD76">
            <w:pPr>
              <w:widowControl/>
              <w:adjustRightInd w:val="0"/>
              <w:snapToGrid w:val="0"/>
              <w:rPr>
                <w:rFonts w:hint="eastAsia" w:ascii="宋体" w:hAnsi="宋体" w:eastAsia="宋体" w:cs="宋体"/>
                <w:bCs/>
                <w:color w:val="000000"/>
              </w:rPr>
            </w:pPr>
            <w:r>
              <w:rPr>
                <w:rFonts w:hint="eastAsia" w:ascii="宋体" w:hAnsi="宋体" w:eastAsia="宋体" w:cs="宋体"/>
                <w:bCs/>
                <w:color w:val="000000"/>
                <w:kern w:val="0"/>
                <w:sz w:val="24"/>
                <w:lang w:val="en-US" w:eastAsia="zh-CN" w:bidi="ar-AE"/>
              </w:rPr>
              <w:t>宝安引导基金是深圳市宝安区财政局下属企业</w:t>
            </w:r>
            <w:r>
              <w:rPr>
                <w:rFonts w:hint="eastAsia" w:ascii="宋体" w:hAnsi="宋体" w:eastAsia="宋体" w:cs="宋体"/>
                <w:bCs/>
                <w:color w:val="000000"/>
                <w:kern w:val="0"/>
                <w:sz w:val="24"/>
                <w:lang w:val="en-GB" w:bidi="ar-AE"/>
              </w:rPr>
              <w:t>。</w:t>
            </w:r>
          </w:p>
        </w:tc>
      </w:tr>
      <w:tr w14:paraId="6709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14:paraId="51FF77AA">
            <w:pPr>
              <w:adjustRightInd w:val="0"/>
              <w:snapToGrid w:val="0"/>
              <w:spacing w:after="0"/>
              <w:jc w:val="both"/>
              <w:rPr>
                <w:rFonts w:hint="eastAsia" w:ascii="宋体" w:hAnsi="宋体" w:eastAsia="宋体" w:cs="宋体"/>
                <w:bCs/>
                <w:color w:val="000000"/>
                <w:sz w:val="24"/>
                <w:szCs w:val="24"/>
                <w:lang w:val="en-US" w:eastAsia="zh-CN" w:bidi="ar-AE"/>
              </w:rPr>
            </w:pPr>
          </w:p>
        </w:tc>
        <w:tc>
          <w:tcPr>
            <w:tcW w:w="1607" w:type="dxa"/>
            <w:noWrap w:val="0"/>
            <w:vAlign w:val="center"/>
          </w:tcPr>
          <w:p w14:paraId="6433C9A3">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US" w:eastAsia="zh-CN" w:bidi="ar-AE"/>
              </w:rPr>
              <w:t>2.</w:t>
            </w:r>
            <w:r>
              <w:rPr>
                <w:rFonts w:hint="eastAsia" w:ascii="宋体" w:hAnsi="宋体" w:eastAsia="宋体" w:cs="宋体"/>
                <w:kern w:val="0"/>
                <w:sz w:val="24"/>
                <w:szCs w:val="24"/>
                <w:lang w:val="en-US" w:eastAsia="zh-CN" w:bidi="ar-AE"/>
              </w:rPr>
              <w:t>赛米基金</w:t>
            </w:r>
          </w:p>
        </w:tc>
        <w:tc>
          <w:tcPr>
            <w:tcW w:w="6093" w:type="dxa"/>
            <w:noWrap w:val="0"/>
            <w:vAlign w:val="center"/>
          </w:tcPr>
          <w:p w14:paraId="6EACB264">
            <w:pPr>
              <w:widowControl/>
              <w:adjustRightInd w:val="0"/>
              <w:snapToGrid w:val="0"/>
              <w:rPr>
                <w:rFonts w:ascii="宋体" w:hAnsi="宋体" w:eastAsia="宋体" w:cs="宋体"/>
                <w:bCs/>
                <w:color w:val="000000"/>
                <w:kern w:val="0"/>
                <w:sz w:val="24"/>
                <w:lang w:val="en-GB" w:bidi="ar-AE"/>
              </w:rPr>
            </w:pPr>
            <w:r>
              <w:rPr>
                <w:rFonts w:hint="eastAsia" w:ascii="宋体" w:hAnsi="宋体" w:eastAsia="宋体" w:cs="宋体"/>
                <w:kern w:val="0"/>
                <w:sz w:val="24"/>
                <w:lang w:val="en-US" w:eastAsia="zh-CN" w:bidi="ar-AE"/>
              </w:rPr>
              <w:t>赛米基金</w:t>
            </w:r>
            <w:r>
              <w:rPr>
                <w:rFonts w:hint="eastAsia" w:ascii="宋体" w:hAnsi="宋体" w:eastAsia="宋体" w:cs="宋体"/>
                <w:bCs/>
                <w:color w:val="000000"/>
                <w:kern w:val="0"/>
                <w:sz w:val="24"/>
                <w:lang w:val="en-GB" w:bidi="ar-AE"/>
              </w:rPr>
              <w:t>于20</w:t>
            </w:r>
            <w:r>
              <w:rPr>
                <w:rFonts w:hint="eastAsia" w:ascii="宋体" w:hAnsi="宋体" w:eastAsia="宋体" w:cs="宋体"/>
                <w:bCs/>
                <w:color w:val="000000"/>
                <w:kern w:val="0"/>
                <w:sz w:val="24"/>
                <w:lang w:val="en-US" w:eastAsia="zh-CN" w:bidi="ar-AE"/>
              </w:rPr>
              <w:t>25</w:t>
            </w:r>
            <w:r>
              <w:rPr>
                <w:rFonts w:hint="eastAsia" w:ascii="宋体" w:hAnsi="宋体" w:eastAsia="宋体" w:cs="宋体"/>
                <w:bCs/>
                <w:color w:val="000000"/>
                <w:kern w:val="0"/>
                <w:sz w:val="24"/>
                <w:lang w:val="en-GB" w:bidi="ar-AE"/>
              </w:rPr>
              <w:t>年</w:t>
            </w:r>
            <w:r>
              <w:rPr>
                <w:rFonts w:hint="eastAsia" w:ascii="宋体" w:hAnsi="宋体" w:eastAsia="宋体" w:cs="宋体"/>
                <w:bCs/>
                <w:color w:val="000000"/>
                <w:kern w:val="0"/>
                <w:sz w:val="24"/>
                <w:lang w:val="en-US" w:eastAsia="zh-CN" w:bidi="ar-AE"/>
              </w:rPr>
              <w:t>04</w:t>
            </w:r>
            <w:r>
              <w:rPr>
                <w:rFonts w:hint="eastAsia" w:ascii="宋体" w:hAnsi="宋体" w:eastAsia="宋体" w:cs="宋体"/>
                <w:bCs/>
                <w:color w:val="000000"/>
                <w:kern w:val="0"/>
                <w:sz w:val="24"/>
                <w:lang w:val="en-GB" w:bidi="ar-AE"/>
              </w:rPr>
              <w:t>月</w:t>
            </w:r>
            <w:r>
              <w:rPr>
                <w:rFonts w:hint="eastAsia" w:ascii="宋体" w:hAnsi="宋体" w:eastAsia="宋体" w:cs="宋体"/>
                <w:bCs/>
                <w:color w:val="000000"/>
                <w:kern w:val="0"/>
                <w:sz w:val="24"/>
                <w:lang w:val="en-US" w:eastAsia="zh-CN" w:bidi="ar-AE"/>
              </w:rPr>
              <w:t>29</w:t>
            </w:r>
            <w:r>
              <w:rPr>
                <w:rFonts w:hint="eastAsia" w:ascii="宋体" w:hAnsi="宋体" w:eastAsia="宋体" w:cs="宋体"/>
                <w:bCs/>
                <w:color w:val="000000"/>
                <w:kern w:val="0"/>
                <w:sz w:val="24"/>
                <w:lang w:val="en-GB" w:bidi="ar-AE"/>
              </w:rPr>
              <w:t>日成立于</w:t>
            </w:r>
            <w:r>
              <w:rPr>
                <w:rFonts w:hint="eastAsia" w:ascii="宋体" w:hAnsi="宋体" w:eastAsia="宋体" w:cs="宋体"/>
                <w:bCs/>
                <w:color w:val="000000"/>
                <w:kern w:val="0"/>
                <w:sz w:val="24"/>
                <w:lang w:val="en-US" w:eastAsia="zh-CN" w:bidi="ar-AE"/>
              </w:rPr>
              <w:t>广东省深圳市</w:t>
            </w:r>
            <w:r>
              <w:rPr>
                <w:rFonts w:hint="eastAsia" w:ascii="宋体" w:hAnsi="宋体" w:eastAsia="宋体" w:cs="宋体"/>
                <w:bCs/>
                <w:color w:val="000000"/>
                <w:kern w:val="0"/>
                <w:sz w:val="24"/>
                <w:lang w:val="en-GB" w:bidi="ar-AE"/>
              </w:rPr>
              <w:t>，主要业务为私募基金管理及投资及咨询业务</w:t>
            </w:r>
            <w:r>
              <w:rPr>
                <w:rFonts w:hint="eastAsia" w:ascii="宋体" w:hAnsi="宋体" w:eastAsia="宋体" w:cs="宋体"/>
                <w:bCs/>
                <w:color w:val="000000"/>
                <w:kern w:val="0"/>
                <w:sz w:val="24"/>
                <w:lang w:val="en-US" w:eastAsia="zh-CN" w:bidi="ar-AE"/>
              </w:rPr>
              <w:t>等</w:t>
            </w:r>
            <w:r>
              <w:rPr>
                <w:rFonts w:hint="eastAsia" w:ascii="宋体" w:hAnsi="宋体" w:eastAsia="宋体" w:cs="宋体"/>
                <w:bCs/>
                <w:color w:val="000000"/>
                <w:kern w:val="0"/>
                <w:sz w:val="24"/>
                <w:lang w:val="en-GB" w:bidi="ar-AE"/>
              </w:rPr>
              <w:t>。</w:t>
            </w:r>
          </w:p>
          <w:p w14:paraId="4AACFC3F">
            <w:pPr>
              <w:widowControl/>
              <w:adjustRightInd w:val="0"/>
              <w:snapToGrid w:val="0"/>
              <w:rPr>
                <w:rFonts w:hint="eastAsia" w:ascii="宋体" w:hAnsi="宋体" w:eastAsia="宋体" w:cs="宋体"/>
                <w:bCs/>
                <w:color w:val="000000"/>
                <w:kern w:val="0"/>
                <w:sz w:val="24"/>
                <w:lang w:val="en-GB" w:bidi="ar-AE"/>
              </w:rPr>
            </w:pPr>
            <w:r>
              <w:rPr>
                <w:rFonts w:hint="eastAsia" w:ascii="宋体" w:hAnsi="宋体" w:eastAsia="宋体" w:cs="宋体"/>
                <w:kern w:val="0"/>
                <w:sz w:val="24"/>
                <w:lang w:val="en-US" w:eastAsia="zh-CN" w:bidi="ar-AE"/>
              </w:rPr>
              <w:t>赛米基金</w:t>
            </w:r>
            <w:r>
              <w:rPr>
                <w:rFonts w:hint="eastAsia" w:ascii="宋体" w:hAnsi="宋体" w:eastAsia="宋体" w:cs="宋体"/>
                <w:bCs/>
                <w:color w:val="000000"/>
                <w:kern w:val="0"/>
                <w:sz w:val="24"/>
                <w:lang w:val="en-GB" w:bidi="ar-AE"/>
              </w:rPr>
              <w:t>最终控制人为深圳市创新投资集团有限公司</w:t>
            </w:r>
            <w:r>
              <w:rPr>
                <w:rFonts w:hint="eastAsia" w:ascii="宋体" w:hAnsi="宋体" w:eastAsia="宋体" w:cs="宋体"/>
                <w:bCs/>
                <w:color w:val="000000"/>
                <w:kern w:val="0"/>
                <w:sz w:val="24"/>
                <w:lang w:val="en-GB" w:eastAsia="zh-CN" w:bidi="ar-AE"/>
              </w:rPr>
              <w:t>（“</w:t>
            </w:r>
            <w:r>
              <w:rPr>
                <w:rFonts w:hint="eastAsia" w:ascii="宋体" w:hAnsi="宋体" w:eastAsia="宋体" w:cs="宋体"/>
                <w:bCs/>
                <w:color w:val="000000"/>
                <w:kern w:val="0"/>
                <w:sz w:val="24"/>
                <w:lang w:val="en-US" w:eastAsia="zh-CN" w:bidi="ar-AE"/>
              </w:rPr>
              <w:t>深创投</w:t>
            </w:r>
            <w:r>
              <w:rPr>
                <w:rFonts w:hint="eastAsia" w:ascii="宋体" w:hAnsi="宋体" w:eastAsia="宋体" w:cs="宋体"/>
                <w:bCs/>
                <w:color w:val="000000"/>
                <w:kern w:val="0"/>
                <w:sz w:val="24"/>
                <w:lang w:val="en-GB" w:eastAsia="zh-CN" w:bidi="ar-AE"/>
              </w:rPr>
              <w:t>”）</w:t>
            </w:r>
            <w:r>
              <w:rPr>
                <w:rFonts w:hint="eastAsia" w:ascii="宋体" w:hAnsi="宋体" w:eastAsia="宋体" w:cs="宋体"/>
                <w:bCs/>
                <w:color w:val="000000"/>
                <w:kern w:val="0"/>
                <w:sz w:val="24"/>
                <w:lang w:val="en-GB" w:bidi="ar-AE"/>
              </w:rPr>
              <w:t>和深圳市重大产业投资集团有限公司</w:t>
            </w:r>
            <w:r>
              <w:rPr>
                <w:rFonts w:hint="eastAsia" w:ascii="宋体" w:hAnsi="宋体" w:eastAsia="宋体" w:cs="宋体"/>
                <w:bCs/>
                <w:color w:val="000000"/>
                <w:kern w:val="0"/>
                <w:sz w:val="24"/>
                <w:lang w:val="en-GB" w:eastAsia="zh-CN" w:bidi="ar-AE"/>
              </w:rPr>
              <w:t>（“</w:t>
            </w:r>
            <w:r>
              <w:rPr>
                <w:rFonts w:hint="eastAsia" w:ascii="宋体" w:hAnsi="宋体" w:eastAsia="宋体" w:cs="宋体"/>
                <w:bCs/>
                <w:color w:val="000000"/>
                <w:kern w:val="0"/>
                <w:sz w:val="24"/>
                <w:lang w:val="en-US" w:eastAsia="zh-CN" w:bidi="ar-AE"/>
              </w:rPr>
              <w:t>深重投</w:t>
            </w:r>
            <w:r>
              <w:rPr>
                <w:rFonts w:hint="eastAsia" w:ascii="宋体" w:hAnsi="宋体" w:eastAsia="宋体" w:cs="宋体"/>
                <w:bCs/>
                <w:color w:val="000000"/>
                <w:kern w:val="0"/>
                <w:sz w:val="24"/>
                <w:lang w:val="en-GB" w:eastAsia="zh-CN" w:bidi="ar-AE"/>
              </w:rPr>
              <w:t>”）</w:t>
            </w:r>
            <w:r>
              <w:rPr>
                <w:rFonts w:hint="eastAsia" w:ascii="宋体" w:hAnsi="宋体" w:eastAsia="宋体" w:cs="宋体"/>
                <w:bCs/>
                <w:color w:val="000000"/>
                <w:kern w:val="0"/>
                <w:sz w:val="24"/>
                <w:lang w:val="en-GB" w:bidi="ar-AE"/>
              </w:rPr>
              <w:t>。</w:t>
            </w:r>
            <w:r>
              <w:rPr>
                <w:rFonts w:hint="eastAsia" w:ascii="宋体" w:hAnsi="宋体" w:eastAsia="宋体" w:cs="宋体"/>
                <w:bCs/>
                <w:color w:val="000000"/>
                <w:kern w:val="0"/>
                <w:sz w:val="24"/>
                <w:lang w:val="en-US" w:eastAsia="zh-CN" w:bidi="ar-AE"/>
              </w:rPr>
              <w:t>深创投</w:t>
            </w:r>
            <w:r>
              <w:rPr>
                <w:rFonts w:hint="eastAsia" w:ascii="宋体" w:hAnsi="宋体" w:eastAsia="宋体" w:cs="宋体"/>
                <w:bCs/>
                <w:color w:val="000000"/>
                <w:kern w:val="0"/>
                <w:sz w:val="24"/>
                <w:lang w:bidi="ar-AE"/>
              </w:rPr>
              <w:t>主要业务为</w:t>
            </w:r>
            <w:r>
              <w:rPr>
                <w:rFonts w:ascii="宋体" w:hAnsi="宋体" w:eastAsia="宋体" w:cs="宋体"/>
                <w:sz w:val="24"/>
                <w:szCs w:val="24"/>
              </w:rPr>
              <w:t>创业投资业务</w:t>
            </w:r>
            <w:r>
              <w:rPr>
                <w:rFonts w:hint="eastAsia" w:ascii="宋体" w:hAnsi="宋体" w:eastAsia="宋体" w:cs="宋体"/>
                <w:bCs/>
                <w:color w:val="000000"/>
                <w:kern w:val="0"/>
                <w:sz w:val="24"/>
                <w:lang w:bidi="ar-AE"/>
              </w:rPr>
              <w:t>。</w:t>
            </w:r>
            <w:r>
              <w:rPr>
                <w:rFonts w:hint="eastAsia" w:ascii="宋体" w:hAnsi="宋体" w:eastAsia="宋体" w:cs="宋体"/>
                <w:bCs/>
                <w:color w:val="000000"/>
                <w:kern w:val="0"/>
                <w:sz w:val="24"/>
                <w:lang w:val="en-US" w:eastAsia="zh-CN" w:bidi="ar-AE"/>
              </w:rPr>
              <w:t>深重投</w:t>
            </w:r>
            <w:r>
              <w:rPr>
                <w:rFonts w:hint="eastAsia" w:ascii="宋体" w:hAnsi="宋体" w:eastAsia="宋体" w:cs="宋体"/>
                <w:bCs/>
                <w:color w:val="000000"/>
                <w:kern w:val="0"/>
                <w:sz w:val="24"/>
                <w:lang w:val="en-GB" w:bidi="ar-AE"/>
              </w:rPr>
              <w:t>主要业务为</w:t>
            </w:r>
            <w:r>
              <w:rPr>
                <w:rFonts w:hint="eastAsia" w:ascii="宋体" w:hAnsi="宋体" w:eastAsia="宋体" w:cs="宋体"/>
                <w:bCs/>
                <w:color w:val="000000"/>
                <w:kern w:val="0"/>
                <w:sz w:val="24"/>
                <w:lang w:val="en-US" w:eastAsia="zh-CN" w:bidi="ar-AE"/>
              </w:rPr>
              <w:t>重大产业项目研究及投资</w:t>
            </w:r>
            <w:r>
              <w:rPr>
                <w:rFonts w:hint="eastAsia" w:ascii="宋体" w:hAnsi="宋体" w:eastAsia="宋体" w:cs="宋体"/>
                <w:bCs/>
                <w:color w:val="000000"/>
                <w:kern w:val="0"/>
                <w:sz w:val="24"/>
                <w:lang w:val="en-GB" w:bidi="ar-AE"/>
              </w:rPr>
              <w:t>。</w:t>
            </w:r>
          </w:p>
        </w:tc>
      </w:tr>
      <w:tr w14:paraId="4EDD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14:paraId="4A8C9C36">
            <w:pPr>
              <w:adjustRightInd w:val="0"/>
              <w:snapToGrid w:val="0"/>
              <w:spacing w:after="0"/>
              <w:jc w:val="both"/>
              <w:rPr>
                <w:rFonts w:hint="eastAsia" w:ascii="宋体" w:hAnsi="宋体" w:eastAsia="宋体" w:cs="宋体"/>
                <w:bCs/>
                <w:color w:val="000000"/>
                <w:sz w:val="24"/>
                <w:szCs w:val="24"/>
                <w:lang w:val="en-US" w:eastAsia="zh-CN" w:bidi="ar-AE"/>
              </w:rPr>
            </w:pPr>
          </w:p>
        </w:tc>
        <w:tc>
          <w:tcPr>
            <w:tcW w:w="1607" w:type="dxa"/>
            <w:noWrap w:val="0"/>
            <w:vAlign w:val="center"/>
          </w:tcPr>
          <w:p w14:paraId="3FB09772">
            <w:pPr>
              <w:adjustRightInd w:val="0"/>
              <w:snapToGrid w:val="0"/>
              <w:spacing w:after="0"/>
              <w:jc w:val="both"/>
              <w:rPr>
                <w:rFonts w:hint="eastAsia" w:ascii="宋体" w:hAnsi="宋体" w:eastAsia="宋体" w:cs="宋体"/>
                <w:bCs/>
                <w:color w:val="000000"/>
                <w:sz w:val="24"/>
                <w:szCs w:val="24"/>
                <w:lang w:val="en-GB" w:eastAsia="zh-CN" w:bidi="ar-AE"/>
              </w:rPr>
            </w:pPr>
            <w:r>
              <w:rPr>
                <w:rFonts w:hint="eastAsia" w:ascii="宋体" w:hAnsi="宋体" w:eastAsia="宋体" w:cs="宋体"/>
                <w:bCs/>
                <w:color w:val="000000"/>
                <w:sz w:val="24"/>
                <w:szCs w:val="24"/>
                <w:lang w:val="en-US" w:eastAsia="zh-CN" w:bidi="ar-AE"/>
              </w:rPr>
              <w:t>3.</w:t>
            </w:r>
            <w:r>
              <w:rPr>
                <w:rFonts w:hint="eastAsia" w:ascii="宋体" w:hAnsi="宋体" w:eastAsia="宋体" w:cs="宋体"/>
                <w:kern w:val="0"/>
                <w:sz w:val="24"/>
                <w:szCs w:val="24"/>
                <w:lang w:val="en-US" w:eastAsia="zh-CN" w:bidi="ar-AE"/>
              </w:rPr>
              <w:t>前海江丰</w:t>
            </w:r>
          </w:p>
        </w:tc>
        <w:tc>
          <w:tcPr>
            <w:tcW w:w="6093" w:type="dxa"/>
            <w:noWrap w:val="0"/>
            <w:vAlign w:val="center"/>
          </w:tcPr>
          <w:p w14:paraId="220AE3DF">
            <w:pPr>
              <w:widowControl/>
              <w:adjustRightInd w:val="0"/>
              <w:snapToGrid w:val="0"/>
              <w:rPr>
                <w:rFonts w:ascii="宋体" w:hAnsi="宋体" w:eastAsia="宋体" w:cs="宋体"/>
                <w:bCs/>
                <w:color w:val="000000"/>
                <w:kern w:val="0"/>
                <w:sz w:val="24"/>
                <w:lang w:val="en-GB" w:bidi="ar-AE"/>
              </w:rPr>
            </w:pPr>
            <w:r>
              <w:rPr>
                <w:rFonts w:hint="eastAsia" w:ascii="宋体" w:hAnsi="宋体" w:eastAsia="宋体" w:cs="宋体"/>
                <w:kern w:val="0"/>
                <w:sz w:val="24"/>
                <w:lang w:val="en-US" w:eastAsia="zh-CN" w:bidi="ar-AE"/>
              </w:rPr>
              <w:t>前海江丰</w:t>
            </w:r>
            <w:r>
              <w:rPr>
                <w:rFonts w:hint="eastAsia" w:ascii="宋体" w:hAnsi="宋体" w:eastAsia="宋体" w:cs="宋体"/>
                <w:bCs/>
                <w:color w:val="000000"/>
                <w:kern w:val="0"/>
                <w:sz w:val="24"/>
                <w:lang w:val="en-GB" w:bidi="ar-AE"/>
              </w:rPr>
              <w:t>于20</w:t>
            </w:r>
            <w:r>
              <w:rPr>
                <w:rFonts w:hint="eastAsia" w:ascii="宋体" w:hAnsi="宋体" w:eastAsia="宋体" w:cs="宋体"/>
                <w:bCs/>
                <w:color w:val="000000"/>
                <w:kern w:val="0"/>
                <w:sz w:val="24"/>
                <w:lang w:val="en-US" w:eastAsia="zh-CN" w:bidi="ar-AE"/>
              </w:rPr>
              <w:t>26</w:t>
            </w:r>
            <w:r>
              <w:rPr>
                <w:rFonts w:hint="eastAsia" w:ascii="宋体" w:hAnsi="宋体" w:eastAsia="宋体" w:cs="宋体"/>
                <w:bCs/>
                <w:color w:val="000000"/>
                <w:kern w:val="0"/>
                <w:sz w:val="24"/>
                <w:lang w:val="en-GB" w:bidi="ar-AE"/>
              </w:rPr>
              <w:t>年</w:t>
            </w:r>
            <w:r>
              <w:rPr>
                <w:rFonts w:hint="eastAsia" w:ascii="宋体" w:hAnsi="宋体" w:eastAsia="宋体" w:cs="宋体"/>
                <w:bCs/>
                <w:color w:val="000000"/>
                <w:kern w:val="0"/>
                <w:sz w:val="24"/>
                <w:lang w:val="en-US" w:eastAsia="zh-CN" w:bidi="ar-AE"/>
              </w:rPr>
              <w:t>02</w:t>
            </w:r>
            <w:r>
              <w:rPr>
                <w:rFonts w:hint="eastAsia" w:ascii="宋体" w:hAnsi="宋体" w:eastAsia="宋体" w:cs="宋体"/>
                <w:bCs/>
                <w:color w:val="000000"/>
                <w:kern w:val="0"/>
                <w:sz w:val="24"/>
                <w:lang w:val="en-GB" w:bidi="ar-AE"/>
              </w:rPr>
              <w:t>月</w:t>
            </w:r>
            <w:r>
              <w:rPr>
                <w:rFonts w:hint="eastAsia" w:ascii="宋体" w:hAnsi="宋体" w:eastAsia="宋体" w:cs="宋体"/>
                <w:bCs/>
                <w:color w:val="000000"/>
                <w:kern w:val="0"/>
                <w:sz w:val="24"/>
                <w:lang w:val="en-US" w:eastAsia="zh-CN" w:bidi="ar-AE"/>
              </w:rPr>
              <w:t>12</w:t>
            </w:r>
            <w:r>
              <w:rPr>
                <w:rFonts w:hint="eastAsia" w:ascii="宋体" w:hAnsi="宋体" w:eastAsia="宋体" w:cs="宋体"/>
                <w:bCs/>
                <w:color w:val="000000"/>
                <w:kern w:val="0"/>
                <w:sz w:val="24"/>
                <w:lang w:val="en-GB" w:bidi="ar-AE"/>
              </w:rPr>
              <w:t>日成立于</w:t>
            </w:r>
            <w:r>
              <w:rPr>
                <w:rFonts w:hint="eastAsia" w:ascii="宋体" w:hAnsi="宋体" w:eastAsia="宋体" w:cs="宋体"/>
                <w:bCs/>
                <w:color w:val="000000"/>
                <w:kern w:val="0"/>
                <w:sz w:val="24"/>
                <w:lang w:val="en-US" w:eastAsia="zh-CN" w:bidi="ar-AE"/>
              </w:rPr>
              <w:t>广东省深圳市</w:t>
            </w:r>
            <w:r>
              <w:rPr>
                <w:rFonts w:hint="eastAsia" w:ascii="宋体" w:hAnsi="宋体" w:eastAsia="宋体" w:cs="宋体"/>
                <w:bCs/>
                <w:color w:val="000000"/>
                <w:kern w:val="0"/>
                <w:sz w:val="24"/>
                <w:lang w:val="en-GB" w:bidi="ar-AE"/>
              </w:rPr>
              <w:t>，主要业务为</w:t>
            </w:r>
            <w:r>
              <w:rPr>
                <w:rFonts w:ascii="宋体" w:hAnsi="宋体" w:eastAsia="宋体" w:cs="宋体"/>
                <w:sz w:val="24"/>
                <w:szCs w:val="24"/>
              </w:rPr>
              <w:t>以自有资金从事投资活动</w:t>
            </w:r>
            <w:r>
              <w:rPr>
                <w:rFonts w:hint="eastAsia" w:ascii="宋体" w:hAnsi="宋体" w:eastAsia="宋体" w:cs="宋体"/>
                <w:bCs/>
                <w:color w:val="000000"/>
                <w:kern w:val="0"/>
                <w:sz w:val="24"/>
                <w:lang w:val="en-US" w:eastAsia="zh-CN" w:bidi="ar-AE"/>
              </w:rPr>
              <w:t>等</w:t>
            </w:r>
            <w:r>
              <w:rPr>
                <w:rFonts w:hint="eastAsia" w:ascii="宋体" w:hAnsi="宋体" w:eastAsia="宋体" w:cs="宋体"/>
                <w:bCs/>
                <w:color w:val="000000"/>
                <w:kern w:val="0"/>
                <w:sz w:val="24"/>
                <w:lang w:val="en-GB" w:bidi="ar-AE"/>
              </w:rPr>
              <w:t>。</w:t>
            </w:r>
          </w:p>
          <w:p w14:paraId="356F2D99">
            <w:pPr>
              <w:widowControl/>
              <w:adjustRightInd w:val="0"/>
              <w:snapToGrid w:val="0"/>
              <w:rPr>
                <w:rFonts w:ascii="宋体" w:hAnsi="宋体" w:eastAsia="宋体" w:cs="宋体"/>
                <w:bCs/>
                <w:color w:val="000000"/>
                <w:kern w:val="0"/>
                <w:sz w:val="24"/>
                <w:lang w:bidi="ar-AE"/>
              </w:rPr>
            </w:pPr>
            <w:r>
              <w:rPr>
                <w:rFonts w:hint="eastAsia" w:ascii="宋体" w:hAnsi="宋体" w:eastAsia="宋体" w:cs="宋体"/>
                <w:kern w:val="0"/>
                <w:sz w:val="24"/>
                <w:lang w:val="en-US" w:eastAsia="zh-CN" w:bidi="ar-AE"/>
              </w:rPr>
              <w:t>前海江丰</w:t>
            </w:r>
            <w:r>
              <w:rPr>
                <w:rFonts w:hint="eastAsia" w:ascii="宋体" w:hAnsi="宋体" w:eastAsia="宋体" w:cs="宋体"/>
                <w:bCs/>
                <w:color w:val="000000"/>
                <w:kern w:val="0"/>
                <w:sz w:val="24"/>
                <w:lang w:val="en-GB" w:bidi="ar-AE"/>
              </w:rPr>
              <w:t>最终控制人为</w:t>
            </w:r>
            <w:r>
              <w:rPr>
                <w:rFonts w:hint="eastAsia" w:ascii="宋体" w:hAnsi="宋体" w:eastAsia="宋体" w:cs="宋体"/>
                <w:bCs/>
                <w:color w:val="000000"/>
                <w:kern w:val="0"/>
                <w:sz w:val="24"/>
                <w:lang w:val="en-US" w:eastAsia="zh-CN" w:bidi="ar-AE"/>
              </w:rPr>
              <w:t>自然人</w:t>
            </w:r>
            <w:r>
              <w:rPr>
                <w:rFonts w:hint="eastAsia" w:ascii="宋体" w:hAnsi="宋体" w:eastAsia="宋体" w:cs="宋体"/>
                <w:bCs/>
                <w:color w:val="000000"/>
                <w:kern w:val="0"/>
                <w:sz w:val="24"/>
                <w:lang w:val="en-GB" w:bidi="ar-AE"/>
              </w:rPr>
              <w:t>和前海金融控股有限公司</w:t>
            </w:r>
            <w:r>
              <w:rPr>
                <w:rFonts w:hint="eastAsia" w:ascii="宋体" w:hAnsi="宋体" w:eastAsia="宋体" w:cs="宋体"/>
                <w:bCs/>
                <w:color w:val="000000"/>
                <w:kern w:val="0"/>
                <w:sz w:val="24"/>
                <w:lang w:val="en-GB" w:eastAsia="zh-CN" w:bidi="ar-AE"/>
              </w:rPr>
              <w:t>（“</w:t>
            </w:r>
            <w:r>
              <w:rPr>
                <w:rFonts w:hint="eastAsia" w:ascii="宋体" w:hAnsi="宋体" w:eastAsia="宋体" w:cs="宋体"/>
                <w:bCs/>
                <w:color w:val="000000"/>
                <w:kern w:val="0"/>
                <w:sz w:val="24"/>
                <w:lang w:val="en-GB" w:bidi="ar-AE"/>
              </w:rPr>
              <w:t>前海金</w:t>
            </w:r>
            <w:r>
              <w:rPr>
                <w:rFonts w:hint="eastAsia" w:ascii="宋体" w:hAnsi="宋体" w:eastAsia="宋体" w:cs="宋体"/>
                <w:bCs/>
                <w:color w:val="000000"/>
                <w:kern w:val="0"/>
                <w:sz w:val="24"/>
                <w:lang w:val="en-US" w:eastAsia="zh-CN" w:bidi="ar-AE"/>
              </w:rPr>
              <w:t>控</w:t>
            </w:r>
            <w:r>
              <w:rPr>
                <w:rFonts w:hint="eastAsia" w:ascii="宋体" w:hAnsi="宋体" w:eastAsia="宋体" w:cs="宋体"/>
                <w:bCs/>
                <w:color w:val="000000"/>
                <w:kern w:val="0"/>
                <w:sz w:val="24"/>
                <w:lang w:val="en-GB" w:eastAsia="zh-CN" w:bidi="ar-AE"/>
              </w:rPr>
              <w:t>”）</w:t>
            </w:r>
            <w:r>
              <w:rPr>
                <w:rFonts w:hint="eastAsia" w:ascii="宋体" w:hAnsi="宋体" w:eastAsia="宋体" w:cs="宋体"/>
                <w:bCs/>
                <w:color w:val="000000"/>
                <w:kern w:val="0"/>
                <w:sz w:val="24"/>
                <w:lang w:val="en-GB" w:bidi="ar-AE"/>
              </w:rPr>
              <w:t>。</w:t>
            </w:r>
            <w:r>
              <w:rPr>
                <w:rFonts w:hint="eastAsia" w:ascii="宋体" w:hAnsi="宋体" w:eastAsia="宋体" w:cs="宋体"/>
                <w:bCs/>
                <w:color w:val="000000"/>
                <w:kern w:val="0"/>
                <w:sz w:val="24"/>
                <w:lang w:val="en-US" w:eastAsia="zh-CN" w:bidi="ar-AE"/>
              </w:rPr>
              <w:t>自然人</w:t>
            </w:r>
            <w:r>
              <w:rPr>
                <w:rFonts w:hint="eastAsia" w:ascii="宋体" w:hAnsi="宋体" w:eastAsia="宋体" w:cs="宋体"/>
                <w:bCs/>
                <w:color w:val="000000"/>
                <w:kern w:val="0"/>
                <w:sz w:val="24"/>
                <w:lang w:bidi="ar-AE"/>
              </w:rPr>
              <w:t>主要业务为</w:t>
            </w:r>
            <w:r>
              <w:rPr>
                <w:rFonts w:hint="eastAsia" w:ascii="宋体" w:hAnsi="宋体" w:eastAsia="宋体" w:cs="宋体"/>
                <w:bCs/>
                <w:color w:val="000000"/>
                <w:kern w:val="0"/>
                <w:sz w:val="24"/>
                <w:lang w:val="en-US" w:eastAsia="zh-CN" w:bidi="ar-AE"/>
              </w:rPr>
              <w:t>以自有资金从事</w:t>
            </w:r>
            <w:r>
              <w:rPr>
                <w:rFonts w:hint="eastAsia" w:ascii="宋体" w:hAnsi="宋体" w:eastAsia="宋体" w:cs="宋体"/>
                <w:sz w:val="24"/>
                <w:szCs w:val="24"/>
              </w:rPr>
              <w:t>电子元器件制造与销售</w:t>
            </w:r>
            <w:r>
              <w:rPr>
                <w:rFonts w:ascii="宋体" w:hAnsi="宋体" w:eastAsia="宋体" w:cs="宋体"/>
                <w:sz w:val="24"/>
                <w:szCs w:val="24"/>
              </w:rPr>
              <w:t>业务</w:t>
            </w:r>
            <w:r>
              <w:rPr>
                <w:rFonts w:hint="eastAsia" w:ascii="宋体" w:hAnsi="宋体" w:eastAsia="宋体" w:cs="宋体"/>
                <w:bCs/>
                <w:color w:val="000000"/>
                <w:kern w:val="0"/>
                <w:sz w:val="24"/>
                <w:lang w:bidi="ar-AE"/>
              </w:rPr>
              <w:t>。</w:t>
            </w:r>
            <w:r>
              <w:rPr>
                <w:rFonts w:hint="eastAsia" w:ascii="宋体" w:hAnsi="宋体" w:eastAsia="宋体" w:cs="宋体"/>
                <w:bCs/>
                <w:color w:val="000000"/>
                <w:kern w:val="0"/>
                <w:sz w:val="24"/>
                <w:lang w:val="en-GB" w:bidi="ar-AE"/>
              </w:rPr>
              <w:t>前海金</w:t>
            </w:r>
            <w:r>
              <w:rPr>
                <w:rFonts w:hint="eastAsia" w:ascii="宋体" w:hAnsi="宋体" w:eastAsia="宋体" w:cs="宋体"/>
                <w:bCs/>
                <w:color w:val="000000"/>
                <w:kern w:val="0"/>
                <w:sz w:val="24"/>
                <w:lang w:val="en-US" w:eastAsia="zh-CN" w:bidi="ar-AE"/>
              </w:rPr>
              <w:t>控</w:t>
            </w:r>
            <w:r>
              <w:rPr>
                <w:rFonts w:hint="eastAsia" w:ascii="宋体" w:hAnsi="宋体" w:eastAsia="宋体" w:cs="宋体"/>
                <w:bCs/>
                <w:color w:val="000000"/>
                <w:kern w:val="0"/>
                <w:sz w:val="24"/>
                <w:lang w:val="en-GB" w:bidi="ar-AE"/>
              </w:rPr>
              <w:t>主要业务为</w:t>
            </w:r>
            <w:r>
              <w:rPr>
                <w:rFonts w:hint="eastAsia" w:ascii="宋体" w:hAnsi="宋体" w:eastAsia="宋体" w:cs="宋体"/>
                <w:bCs/>
                <w:color w:val="000000"/>
                <w:kern w:val="0"/>
                <w:sz w:val="24"/>
                <w:lang w:val="en-US" w:eastAsia="zh-CN" w:bidi="ar-AE"/>
              </w:rPr>
              <w:t>以自有资金从事投资活动</w:t>
            </w:r>
            <w:r>
              <w:rPr>
                <w:rFonts w:hint="eastAsia" w:ascii="宋体" w:hAnsi="宋体" w:eastAsia="宋体" w:cs="宋体"/>
                <w:bCs/>
                <w:color w:val="000000"/>
                <w:kern w:val="0"/>
                <w:sz w:val="24"/>
                <w:lang w:val="en-GB" w:bidi="ar-AE"/>
              </w:rPr>
              <w:t>。</w:t>
            </w:r>
          </w:p>
        </w:tc>
      </w:tr>
      <w:tr w14:paraId="17B4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14:paraId="34BBE0FF">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GB" w:eastAsia="zh-CN" w:bidi="ar-AE"/>
              </w:rPr>
              <w:t>简易案件理由（可以单选，也可以多选）</w:t>
            </w:r>
          </w:p>
        </w:tc>
        <w:tc>
          <w:tcPr>
            <w:tcW w:w="7700" w:type="dxa"/>
            <w:gridSpan w:val="2"/>
            <w:noWrap w:val="0"/>
            <w:vAlign w:val="center"/>
          </w:tcPr>
          <w:p w14:paraId="5AC20AB2">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GB" w:eastAsia="zh-CN" w:bidi="ar-AE"/>
              </w:rPr>
              <w:sym w:font="Wingdings" w:char="00FE"/>
            </w:r>
            <w:r>
              <w:rPr>
                <w:rFonts w:hint="eastAsia" w:ascii="宋体" w:hAnsi="宋体" w:eastAsia="宋体" w:cs="宋体"/>
                <w:bCs/>
                <w:color w:val="000000"/>
                <w:sz w:val="24"/>
                <w:szCs w:val="24"/>
                <w:lang w:val="en-GB" w:eastAsia="zh-CN" w:bidi="ar-AE"/>
              </w:rPr>
              <w:t xml:space="preserve"> 1</w:t>
            </w:r>
            <w:r>
              <w:rPr>
                <w:rFonts w:hint="eastAsia" w:ascii="宋体" w:hAnsi="宋体" w:eastAsia="宋体" w:cs="宋体"/>
                <w:bCs/>
                <w:color w:val="000000"/>
                <w:sz w:val="24"/>
                <w:szCs w:val="24"/>
                <w:lang w:val="en-US" w:eastAsia="zh-CN" w:bidi="ar-AE"/>
              </w:rPr>
              <w:t>.</w:t>
            </w:r>
            <w:r>
              <w:rPr>
                <w:rFonts w:hint="eastAsia" w:ascii="宋体" w:hAnsi="宋体" w:eastAsia="宋体" w:cs="宋体"/>
                <w:bCs/>
                <w:color w:val="000000"/>
                <w:sz w:val="24"/>
                <w:szCs w:val="24"/>
                <w:lang w:val="en-GB" w:eastAsia="zh-CN" w:bidi="ar-AE"/>
              </w:rPr>
              <w:t>在同一相关市场，参与集中的经营者所占的市场份额之和小于15%。</w:t>
            </w:r>
          </w:p>
        </w:tc>
      </w:tr>
      <w:tr w14:paraId="6409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14:paraId="01B6711F">
            <w:pPr>
              <w:adjustRightInd w:val="0"/>
              <w:snapToGrid w:val="0"/>
              <w:spacing w:after="0"/>
              <w:jc w:val="both"/>
              <w:rPr>
                <w:rFonts w:hint="eastAsia" w:ascii="宋体" w:hAnsi="宋体" w:eastAsia="宋体" w:cs="宋体"/>
                <w:bCs/>
                <w:color w:val="000000"/>
                <w:sz w:val="24"/>
                <w:szCs w:val="24"/>
                <w:lang w:val="en-US" w:eastAsia="zh-CN" w:bidi="ar-AE"/>
              </w:rPr>
            </w:pPr>
          </w:p>
        </w:tc>
        <w:tc>
          <w:tcPr>
            <w:tcW w:w="7700" w:type="dxa"/>
            <w:gridSpan w:val="2"/>
            <w:noWrap w:val="0"/>
            <w:vAlign w:val="center"/>
          </w:tcPr>
          <w:p w14:paraId="47A8868E">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GB" w:eastAsia="zh-CN" w:bidi="ar-AE"/>
              </w:rPr>
              <w:sym w:font="Wingdings" w:char="00A8"/>
            </w:r>
            <w:r>
              <w:rPr>
                <w:rFonts w:hint="eastAsia" w:ascii="宋体" w:hAnsi="宋体" w:eastAsia="宋体" w:cs="宋体"/>
                <w:bCs/>
                <w:color w:val="000000"/>
                <w:sz w:val="24"/>
                <w:szCs w:val="24"/>
                <w:lang w:val="en-GB" w:eastAsia="zh-CN" w:bidi="ar-AE"/>
              </w:rPr>
              <w:t xml:space="preserve"> 2</w:t>
            </w:r>
            <w:r>
              <w:rPr>
                <w:rFonts w:hint="eastAsia" w:ascii="宋体" w:hAnsi="宋体" w:eastAsia="宋体" w:cs="宋体"/>
                <w:bCs/>
                <w:color w:val="000000"/>
                <w:sz w:val="24"/>
                <w:szCs w:val="24"/>
                <w:lang w:val="en-US" w:eastAsia="zh-CN" w:bidi="ar-AE"/>
              </w:rPr>
              <w:t>.</w:t>
            </w:r>
            <w:r>
              <w:rPr>
                <w:rFonts w:hint="eastAsia" w:ascii="宋体" w:hAnsi="宋体" w:eastAsia="宋体" w:cs="宋体"/>
                <w:bCs/>
                <w:color w:val="000000"/>
                <w:sz w:val="24"/>
                <w:szCs w:val="24"/>
                <w:lang w:val="en-GB" w:eastAsia="zh-CN" w:bidi="ar-AE"/>
              </w:rPr>
              <w:t>在上下游市场，参与集中的经营者所占的市场份额均小于25%。</w:t>
            </w:r>
          </w:p>
        </w:tc>
      </w:tr>
      <w:tr w14:paraId="420E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14:paraId="7EB89281">
            <w:pPr>
              <w:adjustRightInd w:val="0"/>
              <w:snapToGrid w:val="0"/>
              <w:spacing w:after="0"/>
              <w:jc w:val="both"/>
              <w:rPr>
                <w:rFonts w:hint="eastAsia" w:ascii="宋体" w:hAnsi="宋体" w:eastAsia="宋体" w:cs="宋体"/>
                <w:bCs/>
                <w:color w:val="000000"/>
                <w:sz w:val="24"/>
                <w:szCs w:val="24"/>
                <w:lang w:val="en-US" w:eastAsia="zh-CN" w:bidi="ar-AE"/>
              </w:rPr>
            </w:pPr>
          </w:p>
        </w:tc>
        <w:tc>
          <w:tcPr>
            <w:tcW w:w="7700" w:type="dxa"/>
            <w:gridSpan w:val="2"/>
            <w:noWrap w:val="0"/>
            <w:vAlign w:val="center"/>
          </w:tcPr>
          <w:p w14:paraId="22E3F779">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GB" w:eastAsia="zh-CN" w:bidi="ar-AE"/>
              </w:rPr>
              <w:sym w:font="Wingdings" w:char="00A8"/>
            </w:r>
            <w:r>
              <w:rPr>
                <w:rFonts w:hint="eastAsia" w:ascii="宋体" w:hAnsi="宋体" w:eastAsia="宋体" w:cs="宋体"/>
                <w:bCs/>
                <w:color w:val="000000"/>
                <w:sz w:val="24"/>
                <w:szCs w:val="24"/>
                <w:lang w:val="en-GB" w:eastAsia="zh-CN" w:bidi="ar-AE"/>
              </w:rPr>
              <w:t xml:space="preserve"> 3</w:t>
            </w:r>
            <w:r>
              <w:rPr>
                <w:rFonts w:hint="eastAsia" w:ascii="宋体" w:hAnsi="宋体" w:eastAsia="宋体" w:cs="宋体"/>
                <w:bCs/>
                <w:color w:val="000000"/>
                <w:sz w:val="24"/>
                <w:szCs w:val="24"/>
                <w:lang w:val="en-US" w:eastAsia="zh-CN" w:bidi="ar-AE"/>
              </w:rPr>
              <w:t>.</w:t>
            </w:r>
            <w:r>
              <w:rPr>
                <w:rFonts w:hint="eastAsia" w:ascii="宋体" w:hAnsi="宋体" w:eastAsia="宋体" w:cs="宋体"/>
                <w:bCs/>
                <w:color w:val="000000"/>
                <w:sz w:val="24"/>
                <w:szCs w:val="24"/>
                <w:lang w:val="en-GB" w:eastAsia="zh-CN" w:bidi="ar-AE"/>
              </w:rPr>
              <w:t>不在同一相关市场也不存在上下游关系的参与集中的经营者，在与交易有关的每个市场所占的市场份额均小于25%。</w:t>
            </w:r>
          </w:p>
        </w:tc>
      </w:tr>
      <w:tr w14:paraId="371B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14:paraId="55ABEB68">
            <w:pPr>
              <w:adjustRightInd w:val="0"/>
              <w:snapToGrid w:val="0"/>
              <w:spacing w:after="0"/>
              <w:jc w:val="both"/>
              <w:rPr>
                <w:rFonts w:hint="eastAsia" w:ascii="宋体" w:hAnsi="宋体" w:eastAsia="宋体" w:cs="宋体"/>
                <w:bCs/>
                <w:color w:val="000000"/>
                <w:sz w:val="24"/>
                <w:szCs w:val="24"/>
                <w:lang w:val="en-US" w:eastAsia="zh-CN" w:bidi="ar-AE"/>
              </w:rPr>
            </w:pPr>
          </w:p>
        </w:tc>
        <w:tc>
          <w:tcPr>
            <w:tcW w:w="7700" w:type="dxa"/>
            <w:gridSpan w:val="2"/>
            <w:noWrap w:val="0"/>
            <w:vAlign w:val="center"/>
          </w:tcPr>
          <w:p w14:paraId="2AFE7580">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GB" w:eastAsia="zh-CN" w:bidi="ar-AE"/>
              </w:rPr>
              <w:sym w:font="Wingdings" w:char="00A8"/>
            </w:r>
            <w:r>
              <w:rPr>
                <w:rFonts w:hint="eastAsia" w:ascii="宋体" w:hAnsi="宋体" w:eastAsia="宋体" w:cs="宋体"/>
                <w:bCs/>
                <w:color w:val="000000"/>
                <w:sz w:val="24"/>
                <w:szCs w:val="24"/>
                <w:lang w:val="en-GB" w:eastAsia="zh-CN" w:bidi="ar-AE"/>
              </w:rPr>
              <w:t xml:space="preserve"> 4</w:t>
            </w:r>
            <w:r>
              <w:rPr>
                <w:rFonts w:hint="eastAsia" w:ascii="宋体" w:hAnsi="宋体" w:eastAsia="宋体" w:cs="宋体"/>
                <w:bCs/>
                <w:color w:val="000000"/>
                <w:sz w:val="24"/>
                <w:szCs w:val="24"/>
                <w:lang w:val="en-US" w:eastAsia="zh-CN" w:bidi="ar-AE"/>
              </w:rPr>
              <w:t>.</w:t>
            </w:r>
            <w:r>
              <w:rPr>
                <w:rFonts w:hint="eastAsia" w:ascii="宋体" w:hAnsi="宋体" w:eastAsia="宋体" w:cs="宋体"/>
                <w:bCs/>
                <w:color w:val="000000"/>
                <w:sz w:val="24"/>
                <w:szCs w:val="24"/>
                <w:lang w:val="en-GB" w:eastAsia="zh-CN" w:bidi="ar-AE"/>
              </w:rPr>
              <w:t>参与集中的经营者在中国境外设立合营企业，合营企业不在中国境内从事经济活动。</w:t>
            </w:r>
          </w:p>
        </w:tc>
      </w:tr>
      <w:tr w14:paraId="276A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14:paraId="28BF80E0">
            <w:pPr>
              <w:adjustRightInd w:val="0"/>
              <w:snapToGrid w:val="0"/>
              <w:spacing w:after="0"/>
              <w:jc w:val="both"/>
              <w:rPr>
                <w:rFonts w:hint="eastAsia" w:ascii="宋体" w:hAnsi="宋体" w:eastAsia="宋体" w:cs="宋体"/>
                <w:bCs/>
                <w:color w:val="000000"/>
                <w:sz w:val="24"/>
                <w:szCs w:val="24"/>
                <w:lang w:val="en-US" w:eastAsia="zh-CN" w:bidi="ar-AE"/>
              </w:rPr>
            </w:pPr>
          </w:p>
        </w:tc>
        <w:tc>
          <w:tcPr>
            <w:tcW w:w="7700" w:type="dxa"/>
            <w:gridSpan w:val="2"/>
            <w:noWrap w:val="0"/>
            <w:vAlign w:val="center"/>
          </w:tcPr>
          <w:p w14:paraId="76D81CCC">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GB" w:eastAsia="zh-CN" w:bidi="ar-AE"/>
              </w:rPr>
              <w:sym w:font="Wingdings" w:char="00A8"/>
            </w:r>
            <w:r>
              <w:rPr>
                <w:rFonts w:hint="eastAsia" w:ascii="宋体" w:hAnsi="宋体" w:eastAsia="宋体" w:cs="宋体"/>
                <w:bCs/>
                <w:color w:val="000000"/>
                <w:sz w:val="24"/>
                <w:szCs w:val="24"/>
                <w:lang w:val="en-GB" w:eastAsia="zh-CN" w:bidi="ar-AE"/>
              </w:rPr>
              <w:t xml:space="preserve"> 5</w:t>
            </w:r>
            <w:r>
              <w:rPr>
                <w:rFonts w:hint="eastAsia" w:ascii="宋体" w:hAnsi="宋体" w:eastAsia="宋体" w:cs="宋体"/>
                <w:bCs/>
                <w:color w:val="000000"/>
                <w:sz w:val="24"/>
                <w:szCs w:val="24"/>
                <w:lang w:val="en-US" w:eastAsia="zh-CN" w:bidi="ar-AE"/>
              </w:rPr>
              <w:t>.</w:t>
            </w:r>
            <w:r>
              <w:rPr>
                <w:rFonts w:hint="eastAsia" w:ascii="宋体" w:hAnsi="宋体" w:eastAsia="宋体" w:cs="宋体"/>
                <w:bCs/>
                <w:color w:val="000000"/>
                <w:sz w:val="24"/>
                <w:szCs w:val="24"/>
                <w:lang w:val="en-GB" w:eastAsia="zh-CN" w:bidi="ar-AE"/>
              </w:rPr>
              <w:t>参与集中的经营者收购境外企业股权或资产的，该境外企业不在中国境内从事经济活动。</w:t>
            </w:r>
          </w:p>
        </w:tc>
      </w:tr>
      <w:tr w14:paraId="12DFD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14:paraId="6E729E8D">
            <w:pPr>
              <w:adjustRightInd w:val="0"/>
              <w:snapToGrid w:val="0"/>
              <w:spacing w:after="0"/>
              <w:jc w:val="both"/>
              <w:rPr>
                <w:rFonts w:hint="eastAsia" w:ascii="宋体" w:hAnsi="宋体" w:eastAsia="宋体" w:cs="宋体"/>
                <w:bCs/>
                <w:color w:val="000000"/>
                <w:sz w:val="24"/>
                <w:szCs w:val="24"/>
                <w:lang w:val="en-US" w:eastAsia="zh-CN" w:bidi="ar-AE"/>
              </w:rPr>
            </w:pPr>
          </w:p>
        </w:tc>
        <w:tc>
          <w:tcPr>
            <w:tcW w:w="7700" w:type="dxa"/>
            <w:gridSpan w:val="2"/>
            <w:noWrap w:val="0"/>
            <w:vAlign w:val="center"/>
          </w:tcPr>
          <w:p w14:paraId="57BADCC6">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GB" w:eastAsia="zh-CN" w:bidi="ar-AE"/>
              </w:rPr>
              <w:sym w:font="Wingdings" w:char="00A8"/>
            </w:r>
            <w:r>
              <w:rPr>
                <w:rFonts w:hint="eastAsia" w:ascii="宋体" w:hAnsi="宋体" w:eastAsia="宋体" w:cs="宋体"/>
                <w:bCs/>
                <w:color w:val="000000"/>
                <w:sz w:val="24"/>
                <w:szCs w:val="24"/>
                <w:lang w:val="en-GB" w:eastAsia="zh-CN" w:bidi="ar-AE"/>
              </w:rPr>
              <w:t xml:space="preserve"> 6</w:t>
            </w:r>
            <w:r>
              <w:rPr>
                <w:rFonts w:hint="eastAsia" w:ascii="宋体" w:hAnsi="宋体" w:eastAsia="宋体" w:cs="宋体"/>
                <w:bCs/>
                <w:color w:val="000000"/>
                <w:sz w:val="24"/>
                <w:szCs w:val="24"/>
                <w:lang w:val="en-US" w:eastAsia="zh-CN" w:bidi="ar-AE"/>
              </w:rPr>
              <w:t>.</w:t>
            </w:r>
            <w:r>
              <w:rPr>
                <w:rFonts w:hint="eastAsia" w:ascii="宋体" w:hAnsi="宋体" w:eastAsia="宋体" w:cs="宋体"/>
                <w:bCs/>
                <w:color w:val="000000"/>
                <w:sz w:val="24"/>
                <w:szCs w:val="24"/>
                <w:lang w:val="en-GB" w:eastAsia="zh-CN" w:bidi="ar-AE"/>
              </w:rPr>
              <w:t>由两个以上的经营者共同控制的合营企业，通过集中被其中一个或一个以上经营者控制。</w:t>
            </w:r>
          </w:p>
        </w:tc>
      </w:tr>
      <w:tr w14:paraId="187E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14:paraId="21A96F5F">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US" w:eastAsia="zh-CN" w:bidi="ar-AE"/>
              </w:rPr>
              <w:t>备注</w:t>
            </w:r>
          </w:p>
        </w:tc>
        <w:tc>
          <w:tcPr>
            <w:tcW w:w="7700" w:type="dxa"/>
            <w:gridSpan w:val="2"/>
            <w:noWrap w:val="0"/>
            <w:vAlign w:val="center"/>
          </w:tcPr>
          <w:p w14:paraId="1094BB83">
            <w:pPr>
              <w:adjustRightInd w:val="0"/>
              <w:snapToGrid w:val="0"/>
              <w:spacing w:after="0"/>
              <w:jc w:val="both"/>
              <w:rPr>
                <w:rFonts w:ascii="宋体" w:hAnsi="宋体" w:eastAsia="宋体" w:cs="宋体"/>
                <w:b/>
                <w:color w:val="000000"/>
                <w:sz w:val="24"/>
                <w:szCs w:val="24"/>
                <w:lang w:val="en-US" w:eastAsia="zh-CN" w:bidi="ar-AE"/>
              </w:rPr>
            </w:pPr>
            <w:r>
              <w:rPr>
                <w:rFonts w:hint="eastAsia" w:ascii="宋体" w:hAnsi="宋体" w:eastAsia="宋体" w:cs="宋体"/>
                <w:b/>
                <w:bCs w:val="0"/>
                <w:color w:val="000000"/>
                <w:sz w:val="24"/>
                <w:szCs w:val="24"/>
                <w:lang w:val="en-GB" w:eastAsia="zh-CN" w:bidi="ar-AE"/>
              </w:rPr>
              <w:t>横向重叠</w:t>
            </w:r>
            <w:r>
              <w:rPr>
                <w:rFonts w:hint="eastAsia" w:ascii="宋体" w:hAnsi="宋体" w:eastAsia="宋体" w:cs="宋体"/>
                <w:b/>
                <w:color w:val="000000"/>
                <w:sz w:val="24"/>
                <w:szCs w:val="24"/>
                <w:lang w:val="en-US" w:eastAsia="zh-CN" w:bidi="ar-AE"/>
              </w:rPr>
              <w:t>：</w:t>
            </w:r>
          </w:p>
          <w:p w14:paraId="3EA9B764">
            <w:pPr>
              <w:adjustRightInd w:val="0"/>
              <w:snapToGrid w:val="0"/>
              <w:spacing w:after="0"/>
              <w:jc w:val="both"/>
              <w:rPr>
                <w:rFonts w:hint="eastAsia" w:ascii="宋体" w:hAnsi="宋体" w:eastAsia="宋体" w:cs="宋体"/>
                <w:bCs/>
                <w:color w:val="000000"/>
                <w:sz w:val="24"/>
                <w:szCs w:val="24"/>
                <w:lang w:val="en-US" w:eastAsia="zh-CN" w:bidi="ar-AE"/>
              </w:rPr>
            </w:pPr>
            <w:r>
              <w:rPr>
                <w:rFonts w:hint="eastAsia" w:ascii="宋体" w:hAnsi="宋体" w:eastAsia="宋体" w:cs="宋体"/>
                <w:bCs/>
                <w:color w:val="000000"/>
                <w:sz w:val="24"/>
                <w:szCs w:val="24"/>
                <w:lang w:val="en-US" w:eastAsia="zh-CN" w:bidi="ar-AE"/>
              </w:rPr>
              <w:t>2025年</w:t>
            </w:r>
            <w:r>
              <w:rPr>
                <w:rFonts w:hint="eastAsia" w:ascii="宋体" w:hAnsi="宋体" w:eastAsia="宋体" w:cs="宋体"/>
                <w:bCs/>
                <w:color w:val="000000"/>
                <w:sz w:val="24"/>
                <w:szCs w:val="24"/>
                <w:lang w:val="en-GB" w:eastAsia="zh-CN" w:bidi="ar-AE"/>
              </w:rPr>
              <w:t>中国境内半导体零部件研发服务市场：</w:t>
            </w:r>
          </w:p>
          <w:p w14:paraId="74CDA89C">
            <w:pPr>
              <w:adjustRightInd w:val="0"/>
              <w:snapToGrid w:val="0"/>
              <w:spacing w:after="0"/>
              <w:jc w:val="both"/>
              <w:rPr>
                <w:rFonts w:hint="eastAsia" w:ascii="宋体" w:hAnsi="宋体" w:eastAsia="宋体" w:cs="宋体"/>
                <w:b/>
                <w:color w:val="000000"/>
                <w:sz w:val="24"/>
                <w:szCs w:val="24"/>
                <w:lang w:val="en-US" w:eastAsia="zh-CN" w:bidi="ar-AE"/>
              </w:rPr>
            </w:pPr>
            <w:r>
              <w:rPr>
                <w:rFonts w:hint="eastAsia" w:ascii="宋体" w:hAnsi="宋体" w:eastAsia="宋体" w:cs="宋体"/>
                <w:kern w:val="0"/>
                <w:sz w:val="24"/>
                <w:szCs w:val="24"/>
                <w:lang w:val="en-US" w:eastAsia="zh-CN" w:bidi="ar-AE"/>
              </w:rPr>
              <w:t>前海江丰</w:t>
            </w:r>
            <w:r>
              <w:rPr>
                <w:rFonts w:hint="eastAsia" w:ascii="宋体" w:hAnsi="宋体" w:eastAsia="宋体" w:cs="宋体"/>
                <w:bCs/>
                <w:color w:val="000000"/>
                <w:sz w:val="24"/>
                <w:szCs w:val="24"/>
                <w:lang w:val="en-US" w:eastAsia="zh-CN" w:bidi="ar-AE"/>
              </w:rPr>
              <w:t>:0-5%，合营企业：0-5%，各方合计：5-10%</w:t>
            </w:r>
          </w:p>
        </w:tc>
      </w:tr>
    </w:tbl>
    <w:p w14:paraId="4EC006D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41705B"/>
    <w:rsid w:val="61417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2026-03-02T07:12:00Z</dcterms:created>
  <dc:creator>汗青</dc:creator>
  <cp:lastModifiedBy>汗青</cp:lastModifiedBy>
  <dcterms:modified xsi:type="dcterms:W3CDTF">2026-03-02T07:12:30Z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6C046D3877AF442B8EB0E4082E7E5E81_11</vt:lpwstr>
  </property>
  <property fmtid="{D5CDD505-2E9C-101B-9397-08002B2CF9AE}" pid="4" name="KSOTemplateDocerSaveRecord">
    <vt:lpwstr>eyJoZGlkIjoiNDQzMGY5ZWI0OWM3ZDY2ZDVhMWJmNzNkNjA0OTkyOWYiLCJ1c2VySWQiOiIzNzgxNDI0MDcifQ==</vt:lpwstr>
  </property>
</Properties>
</file>