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C6F3" w14:textId="77777777" w:rsidR="009C165C" w:rsidRPr="00B30549" w:rsidRDefault="009C165C" w:rsidP="009C165C">
      <w:pPr>
        <w:jc w:val="center"/>
        <w:rPr>
          <w:rFonts w:ascii="Times New Roman" w:eastAsia="黑体" w:hAnsi="Times New Roman"/>
          <w:sz w:val="36"/>
          <w:szCs w:val="36"/>
        </w:rPr>
      </w:pPr>
      <w:r w:rsidRPr="00B30549">
        <w:rPr>
          <w:rFonts w:ascii="Times New Roman" w:eastAsia="黑体" w:hAnsi="Times New Roman"/>
          <w:sz w:val="36"/>
          <w:szCs w:val="36"/>
        </w:rPr>
        <w:t>经营者集中简易案件公示表</w:t>
      </w:r>
    </w:p>
    <w:p w14:paraId="5F75102C" w14:textId="77777777" w:rsidR="009C165C" w:rsidRPr="00B30549" w:rsidRDefault="009C165C" w:rsidP="009C165C">
      <w:pPr>
        <w:jc w:val="center"/>
        <w:rPr>
          <w:rFonts w:ascii="Times New Roman" w:eastAsia="仿宋" w:hAnsi="Times New Roman"/>
          <w:sz w:val="24"/>
          <w:szCs w:val="24"/>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9C165C" w:rsidRPr="00B30549" w14:paraId="234EBA56" w14:textId="77777777" w:rsidTr="00363D65">
        <w:trPr>
          <w:trHeight w:val="519"/>
        </w:trPr>
        <w:tc>
          <w:tcPr>
            <w:tcW w:w="1940" w:type="dxa"/>
            <w:shd w:val="clear" w:color="auto" w:fill="D9D9D9"/>
            <w:vAlign w:val="center"/>
          </w:tcPr>
          <w:p w14:paraId="28FA5528" w14:textId="77777777" w:rsidR="009C165C" w:rsidRPr="00B30549" w:rsidRDefault="009C165C" w:rsidP="00363D65">
            <w:pPr>
              <w:pStyle w:val="af3"/>
              <w:adjustRightInd w:val="0"/>
              <w:snapToGrid w:val="0"/>
              <w:spacing w:after="0"/>
              <w:rPr>
                <w:rFonts w:cs="Times New Roman"/>
                <w:bCs/>
                <w:color w:val="000000"/>
                <w:lang w:val="en-US"/>
              </w:rPr>
            </w:pPr>
            <w:r w:rsidRPr="00B30549">
              <w:rPr>
                <w:rFonts w:cs="Times New Roman"/>
                <w:bCs/>
                <w:color w:val="000000"/>
              </w:rPr>
              <w:t>案件名称</w:t>
            </w:r>
          </w:p>
        </w:tc>
        <w:tc>
          <w:tcPr>
            <w:tcW w:w="7700" w:type="dxa"/>
            <w:gridSpan w:val="2"/>
            <w:vAlign w:val="center"/>
          </w:tcPr>
          <w:p w14:paraId="26A1ABF6" w14:textId="1CAF39AF" w:rsidR="009C165C" w:rsidRPr="00B30549" w:rsidRDefault="002D7CDD" w:rsidP="00363D65">
            <w:pPr>
              <w:adjustRightInd w:val="0"/>
              <w:snapToGrid w:val="0"/>
              <w:rPr>
                <w:rFonts w:ascii="Times New Roman" w:hAnsi="Times New Roman"/>
                <w:sz w:val="24"/>
                <w:szCs w:val="24"/>
              </w:rPr>
            </w:pPr>
            <w:r w:rsidRPr="00B30549">
              <w:rPr>
                <w:rFonts w:ascii="Times New Roman" w:hAnsi="Times New Roman"/>
                <w:kern w:val="0"/>
                <w:sz w:val="24"/>
                <w:szCs w:val="24"/>
              </w:rPr>
              <w:t>璞米咨询集团控股有限公司与美国华平投资集团收购</w:t>
            </w:r>
            <w:r w:rsidRPr="00B30549">
              <w:rPr>
                <w:rFonts w:ascii="Times New Roman" w:hAnsi="Times New Roman"/>
                <w:kern w:val="0"/>
                <w:sz w:val="24"/>
                <w:szCs w:val="24"/>
              </w:rPr>
              <w:t>Clearwater Analytics Holdings, Inc.</w:t>
            </w:r>
            <w:r w:rsidRPr="00B30549">
              <w:rPr>
                <w:rFonts w:ascii="Times New Roman" w:hAnsi="Times New Roman"/>
                <w:kern w:val="0"/>
                <w:sz w:val="24"/>
                <w:szCs w:val="24"/>
              </w:rPr>
              <w:t>股权案</w:t>
            </w:r>
          </w:p>
        </w:tc>
      </w:tr>
      <w:tr w:rsidR="009C165C" w:rsidRPr="00B30549" w14:paraId="5CDB4734" w14:textId="77777777" w:rsidTr="00363D65">
        <w:trPr>
          <w:trHeight w:val="1391"/>
        </w:trPr>
        <w:tc>
          <w:tcPr>
            <w:tcW w:w="1940" w:type="dxa"/>
            <w:shd w:val="clear" w:color="auto" w:fill="D9D9D9"/>
            <w:vAlign w:val="center"/>
          </w:tcPr>
          <w:p w14:paraId="1E4F310A"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t>交易概况（限</w:t>
            </w:r>
            <w:r w:rsidRPr="00B30549">
              <w:rPr>
                <w:rFonts w:cs="Times New Roman"/>
                <w:bCs/>
                <w:color w:val="000000"/>
                <w:lang w:eastAsia="zh-CN"/>
              </w:rPr>
              <w:t>200</w:t>
            </w:r>
            <w:r w:rsidRPr="00B30549">
              <w:rPr>
                <w:rFonts w:cs="Times New Roman"/>
                <w:bCs/>
                <w:color w:val="000000"/>
                <w:lang w:eastAsia="zh-CN"/>
              </w:rPr>
              <w:t>字内）</w:t>
            </w:r>
          </w:p>
        </w:tc>
        <w:tc>
          <w:tcPr>
            <w:tcW w:w="7700" w:type="dxa"/>
            <w:gridSpan w:val="2"/>
            <w:vAlign w:val="center"/>
          </w:tcPr>
          <w:p w14:paraId="1D287767" w14:textId="236EDA69" w:rsidR="002D7CDD" w:rsidRPr="00B30549" w:rsidRDefault="002D7CDD" w:rsidP="002D7CDD">
            <w:pPr>
              <w:adjustRightInd w:val="0"/>
              <w:snapToGrid w:val="0"/>
              <w:rPr>
                <w:rFonts w:ascii="Times New Roman" w:hAnsi="Times New Roman"/>
                <w:kern w:val="0"/>
                <w:sz w:val="24"/>
                <w:szCs w:val="24"/>
              </w:rPr>
            </w:pPr>
            <w:r w:rsidRPr="00B30549">
              <w:rPr>
                <w:rFonts w:ascii="Times New Roman" w:hAnsi="Times New Roman"/>
                <w:kern w:val="0"/>
                <w:sz w:val="24"/>
                <w:szCs w:val="24"/>
              </w:rPr>
              <w:t>本次交易涉及璞米咨询集团控股有限公司（</w:t>
            </w:r>
            <w:r w:rsidRPr="00B30549">
              <w:rPr>
                <w:rFonts w:ascii="Times New Roman" w:hAnsi="Times New Roman"/>
                <w:kern w:val="0"/>
                <w:sz w:val="24"/>
                <w:szCs w:val="24"/>
              </w:rPr>
              <w:t>“</w:t>
            </w:r>
            <w:r w:rsidRPr="006F1F52">
              <w:rPr>
                <w:rFonts w:ascii="Times New Roman" w:hAnsi="Times New Roman"/>
                <w:b/>
                <w:bCs/>
                <w:kern w:val="0"/>
                <w:sz w:val="24"/>
                <w:szCs w:val="24"/>
              </w:rPr>
              <w:t>璞米咨询集团</w:t>
            </w:r>
            <w:r w:rsidRPr="00B30549">
              <w:rPr>
                <w:rFonts w:ascii="Times New Roman" w:hAnsi="Times New Roman"/>
                <w:kern w:val="0"/>
                <w:sz w:val="24"/>
                <w:szCs w:val="24"/>
              </w:rPr>
              <w:t>”</w:t>
            </w:r>
            <w:r w:rsidRPr="00B30549">
              <w:rPr>
                <w:rFonts w:ascii="Times New Roman" w:hAnsi="Times New Roman"/>
                <w:kern w:val="0"/>
                <w:sz w:val="24"/>
                <w:szCs w:val="24"/>
              </w:rPr>
              <w:t>，连同其关联方合称</w:t>
            </w:r>
            <w:r w:rsidRPr="00B30549">
              <w:rPr>
                <w:rFonts w:ascii="Times New Roman" w:hAnsi="Times New Roman"/>
                <w:kern w:val="0"/>
                <w:sz w:val="24"/>
                <w:szCs w:val="24"/>
              </w:rPr>
              <w:t>“</w:t>
            </w:r>
            <w:r w:rsidRPr="00B30549">
              <w:rPr>
                <w:rFonts w:ascii="Times New Roman" w:hAnsi="Times New Roman"/>
                <w:b/>
                <w:bCs/>
                <w:kern w:val="0"/>
                <w:sz w:val="24"/>
                <w:szCs w:val="24"/>
              </w:rPr>
              <w:t>璞米</w:t>
            </w:r>
            <w:r w:rsidRPr="00B30549">
              <w:rPr>
                <w:rFonts w:ascii="Times New Roman" w:hAnsi="Times New Roman"/>
                <w:kern w:val="0"/>
                <w:sz w:val="24"/>
                <w:szCs w:val="24"/>
              </w:rPr>
              <w:t>”</w:t>
            </w:r>
            <w:r w:rsidRPr="00B30549">
              <w:rPr>
                <w:rFonts w:ascii="Times New Roman" w:hAnsi="Times New Roman"/>
                <w:kern w:val="0"/>
                <w:sz w:val="24"/>
                <w:szCs w:val="24"/>
              </w:rPr>
              <w:t>）</w:t>
            </w:r>
            <w:r w:rsidR="006F1F52" w:rsidRPr="00B30549">
              <w:rPr>
                <w:rFonts w:ascii="Times New Roman" w:hAnsi="Times New Roman"/>
                <w:kern w:val="0"/>
                <w:sz w:val="24"/>
                <w:szCs w:val="24"/>
              </w:rPr>
              <w:t xml:space="preserve"> </w:t>
            </w:r>
            <w:r w:rsidR="006F1F52" w:rsidRPr="00B30549">
              <w:rPr>
                <w:rFonts w:ascii="Times New Roman" w:hAnsi="Times New Roman"/>
                <w:kern w:val="0"/>
                <w:sz w:val="24"/>
                <w:szCs w:val="24"/>
              </w:rPr>
              <w:t>的子公司或关联方管理及提供咨询的基金</w:t>
            </w:r>
            <w:r w:rsidRPr="00B30549">
              <w:rPr>
                <w:rFonts w:ascii="Times New Roman" w:hAnsi="Times New Roman"/>
                <w:kern w:val="0"/>
                <w:sz w:val="24"/>
                <w:szCs w:val="24"/>
              </w:rPr>
              <w:t>与美国华平投资集团（</w:t>
            </w:r>
            <w:r w:rsidRPr="00B30549">
              <w:rPr>
                <w:rFonts w:ascii="Times New Roman" w:hAnsi="Times New Roman"/>
                <w:kern w:val="0"/>
                <w:sz w:val="24"/>
                <w:szCs w:val="24"/>
              </w:rPr>
              <w:t>“</w:t>
            </w:r>
            <w:r w:rsidRPr="00B30549">
              <w:rPr>
                <w:rFonts w:ascii="Times New Roman" w:hAnsi="Times New Roman"/>
                <w:b/>
                <w:bCs/>
                <w:kern w:val="0"/>
                <w:sz w:val="24"/>
                <w:szCs w:val="24"/>
              </w:rPr>
              <w:t>华平投资</w:t>
            </w:r>
            <w:r w:rsidRPr="00B30549">
              <w:rPr>
                <w:rFonts w:ascii="Times New Roman" w:hAnsi="Times New Roman"/>
                <w:kern w:val="0"/>
                <w:sz w:val="24"/>
                <w:szCs w:val="24"/>
              </w:rPr>
              <w:t>”</w:t>
            </w:r>
            <w:r w:rsidRPr="00B30549">
              <w:rPr>
                <w:rFonts w:ascii="Times New Roman" w:hAnsi="Times New Roman"/>
                <w:kern w:val="0"/>
                <w:sz w:val="24"/>
                <w:szCs w:val="24"/>
              </w:rPr>
              <w:t>）拟收购</w:t>
            </w:r>
            <w:r w:rsidRPr="00B30549">
              <w:rPr>
                <w:rFonts w:ascii="Times New Roman" w:hAnsi="Times New Roman"/>
                <w:kern w:val="0"/>
                <w:sz w:val="24"/>
                <w:szCs w:val="24"/>
              </w:rPr>
              <w:t>Clearwater Analytics Holdings, Inc.</w:t>
            </w:r>
            <w:r w:rsidRPr="00B30549">
              <w:rPr>
                <w:rFonts w:ascii="Times New Roman" w:hAnsi="Times New Roman"/>
                <w:kern w:val="0"/>
                <w:sz w:val="24"/>
                <w:szCs w:val="24"/>
              </w:rPr>
              <w:t>（</w:t>
            </w:r>
            <w:r w:rsidRPr="00B30549">
              <w:rPr>
                <w:rFonts w:ascii="Times New Roman" w:hAnsi="Times New Roman"/>
                <w:kern w:val="0"/>
                <w:sz w:val="24"/>
                <w:szCs w:val="24"/>
              </w:rPr>
              <w:t>“</w:t>
            </w:r>
            <w:r w:rsidRPr="00B30549">
              <w:rPr>
                <w:rFonts w:ascii="Times New Roman" w:hAnsi="Times New Roman"/>
                <w:b/>
                <w:bCs/>
                <w:kern w:val="0"/>
                <w:sz w:val="24"/>
                <w:szCs w:val="24"/>
              </w:rPr>
              <w:t>CWAN</w:t>
            </w:r>
            <w:r w:rsidRPr="00B30549">
              <w:rPr>
                <w:rFonts w:ascii="Times New Roman" w:hAnsi="Times New Roman"/>
                <w:kern w:val="0"/>
                <w:sz w:val="24"/>
                <w:szCs w:val="24"/>
              </w:rPr>
              <w:t>”</w:t>
            </w:r>
            <w:r w:rsidRPr="00B30549">
              <w:rPr>
                <w:rFonts w:ascii="Times New Roman" w:hAnsi="Times New Roman"/>
                <w:kern w:val="0"/>
                <w:sz w:val="24"/>
                <w:szCs w:val="24"/>
              </w:rPr>
              <w:t>）的共同控制权。</w:t>
            </w:r>
            <w:r w:rsidRPr="00B30549">
              <w:rPr>
                <w:rFonts w:ascii="Times New Roman" w:hAnsi="Times New Roman"/>
                <w:kern w:val="0"/>
                <w:sz w:val="24"/>
                <w:szCs w:val="24"/>
              </w:rPr>
              <w:t>CWAN</w:t>
            </w:r>
            <w:r w:rsidR="00A12507">
              <w:rPr>
                <w:rFonts w:ascii="Times New Roman" w:hAnsi="Times New Roman" w:hint="eastAsia"/>
                <w:kern w:val="0"/>
                <w:sz w:val="24"/>
                <w:szCs w:val="24"/>
              </w:rPr>
              <w:t>的</w:t>
            </w:r>
            <w:r w:rsidRPr="00B30549">
              <w:rPr>
                <w:rFonts w:ascii="Times New Roman" w:hAnsi="Times New Roman"/>
                <w:kern w:val="0"/>
                <w:sz w:val="24"/>
                <w:szCs w:val="24"/>
              </w:rPr>
              <w:t>主要</w:t>
            </w:r>
            <w:r w:rsidR="00A12507">
              <w:rPr>
                <w:rFonts w:ascii="Times New Roman" w:hAnsi="Times New Roman" w:hint="eastAsia"/>
                <w:kern w:val="0"/>
                <w:sz w:val="24"/>
                <w:szCs w:val="24"/>
              </w:rPr>
              <w:t>业务为</w:t>
            </w:r>
            <w:r w:rsidRPr="00B30549">
              <w:rPr>
                <w:rFonts w:ascii="Times New Roman" w:hAnsi="Times New Roman"/>
                <w:kern w:val="0"/>
                <w:sz w:val="24"/>
                <w:szCs w:val="24"/>
              </w:rPr>
              <w:t>提供投资管理软件。</w:t>
            </w:r>
          </w:p>
          <w:p w14:paraId="5F18FE29" w14:textId="0B4F7003" w:rsidR="00734E29" w:rsidRPr="00B30549" w:rsidRDefault="002D7CDD" w:rsidP="002D7CDD">
            <w:pPr>
              <w:adjustRightInd w:val="0"/>
              <w:snapToGrid w:val="0"/>
              <w:rPr>
                <w:rFonts w:ascii="Times New Roman" w:hAnsi="Times New Roman"/>
                <w:sz w:val="24"/>
                <w:szCs w:val="24"/>
              </w:rPr>
            </w:pPr>
            <w:r w:rsidRPr="00B30549">
              <w:rPr>
                <w:rFonts w:ascii="Times New Roman" w:hAnsi="Times New Roman"/>
                <w:kern w:val="0"/>
                <w:sz w:val="24"/>
                <w:szCs w:val="24"/>
              </w:rPr>
              <w:t>本次交易前，</w:t>
            </w:r>
            <w:r w:rsidRPr="00B30549">
              <w:rPr>
                <w:rFonts w:ascii="Times New Roman" w:hAnsi="Times New Roman"/>
                <w:kern w:val="0"/>
                <w:sz w:val="24"/>
                <w:szCs w:val="24"/>
              </w:rPr>
              <w:t>CWAN</w:t>
            </w:r>
            <w:r w:rsidRPr="00B30549">
              <w:rPr>
                <w:rFonts w:ascii="Times New Roman" w:hAnsi="Times New Roman"/>
                <w:kern w:val="0"/>
                <w:sz w:val="24"/>
                <w:szCs w:val="24"/>
              </w:rPr>
              <w:t>为上市公司，股权高度分散，无任何实体对其具有控制权。</w:t>
            </w:r>
            <w:r w:rsidR="003A282E">
              <w:rPr>
                <w:rFonts w:ascii="Times New Roman" w:hAnsi="Times New Roman" w:hint="eastAsia"/>
                <w:kern w:val="0"/>
                <w:sz w:val="24"/>
                <w:szCs w:val="24"/>
              </w:rPr>
              <w:t>本次</w:t>
            </w:r>
            <w:r w:rsidRPr="00B30549">
              <w:rPr>
                <w:rFonts w:ascii="Times New Roman" w:hAnsi="Times New Roman"/>
                <w:kern w:val="0"/>
                <w:sz w:val="24"/>
                <w:szCs w:val="24"/>
              </w:rPr>
              <w:t>交易后，璞米与华平投资将分别取得</w:t>
            </w:r>
            <w:r w:rsidRPr="00B30549">
              <w:rPr>
                <w:rFonts w:ascii="Times New Roman" w:hAnsi="Times New Roman"/>
                <w:kern w:val="0"/>
                <w:sz w:val="24"/>
                <w:szCs w:val="24"/>
              </w:rPr>
              <w:t>CWAN</w:t>
            </w:r>
            <w:r w:rsidRPr="00B30549">
              <w:rPr>
                <w:rFonts w:ascii="Times New Roman" w:hAnsi="Times New Roman"/>
                <w:kern w:val="0"/>
                <w:sz w:val="24"/>
                <w:szCs w:val="24"/>
              </w:rPr>
              <w:t>约</w:t>
            </w:r>
            <w:r w:rsidRPr="00B30549">
              <w:rPr>
                <w:rFonts w:ascii="Times New Roman" w:hAnsi="Times New Roman"/>
                <w:kern w:val="0"/>
                <w:sz w:val="24"/>
                <w:szCs w:val="24"/>
              </w:rPr>
              <w:t>38%</w:t>
            </w:r>
            <w:r w:rsidRPr="00B30549">
              <w:rPr>
                <w:rFonts w:ascii="Times New Roman" w:hAnsi="Times New Roman"/>
                <w:kern w:val="0"/>
                <w:sz w:val="24"/>
                <w:szCs w:val="24"/>
              </w:rPr>
              <w:t>及</w:t>
            </w:r>
            <w:r w:rsidRPr="00B30549">
              <w:rPr>
                <w:rFonts w:ascii="Times New Roman" w:hAnsi="Times New Roman"/>
                <w:kern w:val="0"/>
                <w:sz w:val="24"/>
                <w:szCs w:val="24"/>
              </w:rPr>
              <w:t>26%</w:t>
            </w:r>
            <w:r w:rsidRPr="00B30549">
              <w:rPr>
                <w:rFonts w:ascii="Times New Roman" w:hAnsi="Times New Roman"/>
                <w:kern w:val="0"/>
                <w:sz w:val="24"/>
                <w:szCs w:val="24"/>
              </w:rPr>
              <w:t>的股权</w:t>
            </w:r>
            <w:r w:rsidR="003A282E">
              <w:rPr>
                <w:rFonts w:ascii="Times New Roman" w:hAnsi="Times New Roman" w:hint="eastAsia"/>
                <w:kern w:val="0"/>
                <w:sz w:val="24"/>
                <w:szCs w:val="24"/>
              </w:rPr>
              <w:t>，并</w:t>
            </w:r>
            <w:r w:rsidRPr="00B30549">
              <w:rPr>
                <w:rFonts w:ascii="Times New Roman" w:hAnsi="Times New Roman"/>
                <w:kern w:val="0"/>
                <w:sz w:val="24"/>
                <w:szCs w:val="24"/>
              </w:rPr>
              <w:t>共同控制</w:t>
            </w:r>
            <w:r w:rsidR="003A282E" w:rsidRPr="00B30549">
              <w:rPr>
                <w:rFonts w:ascii="Times New Roman" w:hAnsi="Times New Roman"/>
                <w:kern w:val="0"/>
                <w:sz w:val="24"/>
                <w:szCs w:val="24"/>
              </w:rPr>
              <w:t>CWAN</w:t>
            </w:r>
            <w:r w:rsidRPr="00B30549">
              <w:rPr>
                <w:rFonts w:ascii="Times New Roman" w:hAnsi="Times New Roman"/>
                <w:kern w:val="0"/>
                <w:sz w:val="24"/>
                <w:szCs w:val="24"/>
              </w:rPr>
              <w:t>。</w:t>
            </w:r>
          </w:p>
        </w:tc>
      </w:tr>
      <w:tr w:rsidR="002D7CDD" w:rsidRPr="00B30549" w14:paraId="486E43B4" w14:textId="77777777" w:rsidTr="00363D65">
        <w:trPr>
          <w:trHeight w:val="942"/>
        </w:trPr>
        <w:tc>
          <w:tcPr>
            <w:tcW w:w="1940" w:type="dxa"/>
            <w:vMerge w:val="restart"/>
            <w:shd w:val="clear" w:color="auto" w:fill="D9D9D9"/>
            <w:vAlign w:val="center"/>
          </w:tcPr>
          <w:p w14:paraId="63478DB3" w14:textId="77777777" w:rsidR="002D7CDD" w:rsidRPr="00B30549" w:rsidRDefault="002D7CDD"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t>参与集中的经营者简介（每个限</w:t>
            </w:r>
            <w:r w:rsidRPr="00B30549">
              <w:rPr>
                <w:rFonts w:cs="Times New Roman"/>
                <w:bCs/>
                <w:color w:val="000000"/>
                <w:lang w:val="en-US" w:eastAsia="zh-CN"/>
              </w:rPr>
              <w:t>100</w:t>
            </w:r>
            <w:r w:rsidRPr="00B30549">
              <w:rPr>
                <w:rFonts w:cs="Times New Roman"/>
                <w:bCs/>
                <w:color w:val="000000"/>
                <w:lang w:val="en-US" w:eastAsia="zh-CN"/>
              </w:rPr>
              <w:t>字以内</w:t>
            </w:r>
            <w:r w:rsidRPr="00B30549">
              <w:rPr>
                <w:rFonts w:cs="Times New Roman"/>
                <w:bCs/>
                <w:color w:val="000000"/>
                <w:lang w:eastAsia="zh-CN"/>
              </w:rPr>
              <w:t>）</w:t>
            </w:r>
          </w:p>
        </w:tc>
        <w:tc>
          <w:tcPr>
            <w:tcW w:w="1607" w:type="dxa"/>
          </w:tcPr>
          <w:p w14:paraId="4B13F6E0" w14:textId="674830CE" w:rsidR="002D7CDD" w:rsidRPr="00B30549" w:rsidRDefault="002D7CDD" w:rsidP="00363D65">
            <w:pPr>
              <w:pStyle w:val="af3"/>
              <w:adjustRightInd w:val="0"/>
              <w:snapToGrid w:val="0"/>
              <w:spacing w:after="0"/>
              <w:jc w:val="left"/>
              <w:rPr>
                <w:rFonts w:cs="Times New Roman"/>
                <w:bCs/>
                <w:kern w:val="2"/>
                <w:lang w:bidi="ar-SA"/>
              </w:rPr>
            </w:pPr>
            <w:r w:rsidRPr="00B30549">
              <w:rPr>
                <w:rFonts w:cs="Times New Roman"/>
                <w:kern w:val="2"/>
                <w:lang w:bidi="ar-SA"/>
              </w:rPr>
              <w:t>1.</w:t>
            </w:r>
            <w:r w:rsidRPr="00B30549">
              <w:rPr>
                <w:rFonts w:cs="Times New Roman"/>
                <w:kern w:val="2"/>
                <w:lang w:eastAsia="zh-CN" w:bidi="ar-SA"/>
              </w:rPr>
              <w:t>璞米咨询集团</w:t>
            </w:r>
          </w:p>
        </w:tc>
        <w:tc>
          <w:tcPr>
            <w:tcW w:w="6093" w:type="dxa"/>
          </w:tcPr>
          <w:p w14:paraId="5005830C" w14:textId="0BD74609" w:rsidR="002D7CDD" w:rsidRPr="00B30549" w:rsidRDefault="002D7CDD" w:rsidP="002D7CDD">
            <w:pPr>
              <w:rPr>
                <w:rFonts w:ascii="Times New Roman" w:hAnsi="Times New Roman"/>
                <w:sz w:val="24"/>
                <w:szCs w:val="24"/>
              </w:rPr>
            </w:pPr>
            <w:r w:rsidRPr="00B30549">
              <w:rPr>
                <w:rFonts w:ascii="Times New Roman" w:hAnsi="Times New Roman"/>
                <w:sz w:val="24"/>
                <w:szCs w:val="24"/>
              </w:rPr>
              <w:t>璞米咨询集团于</w:t>
            </w:r>
            <w:r w:rsidRPr="00B30549">
              <w:rPr>
                <w:rFonts w:ascii="Times New Roman" w:hAnsi="Times New Roman"/>
                <w:sz w:val="24"/>
                <w:szCs w:val="24"/>
              </w:rPr>
              <w:t>2006</w:t>
            </w:r>
            <w:r w:rsidRPr="00B30549">
              <w:rPr>
                <w:rFonts w:ascii="Times New Roman" w:hAnsi="Times New Roman"/>
                <w:sz w:val="24"/>
                <w:szCs w:val="24"/>
              </w:rPr>
              <w:t>年</w:t>
            </w:r>
            <w:r w:rsidRPr="00B30549">
              <w:rPr>
                <w:rFonts w:ascii="Times New Roman" w:hAnsi="Times New Roman"/>
                <w:sz w:val="24"/>
                <w:szCs w:val="24"/>
              </w:rPr>
              <w:t>11</w:t>
            </w:r>
            <w:r w:rsidRPr="00B30549">
              <w:rPr>
                <w:rFonts w:ascii="Times New Roman" w:hAnsi="Times New Roman"/>
                <w:sz w:val="24"/>
                <w:szCs w:val="24"/>
              </w:rPr>
              <w:t>月</w:t>
            </w:r>
            <w:r w:rsidRPr="00B30549">
              <w:rPr>
                <w:rFonts w:ascii="Times New Roman" w:hAnsi="Times New Roman"/>
                <w:sz w:val="24"/>
                <w:szCs w:val="24"/>
              </w:rPr>
              <w:t>10</w:t>
            </w:r>
            <w:r w:rsidRPr="00B30549">
              <w:rPr>
                <w:rFonts w:ascii="Times New Roman" w:hAnsi="Times New Roman"/>
                <w:sz w:val="24"/>
                <w:szCs w:val="24"/>
              </w:rPr>
              <w:t>日在根西岛成立。璞米集团</w:t>
            </w:r>
            <w:r w:rsidR="00A12507">
              <w:rPr>
                <w:rFonts w:ascii="Times New Roman" w:hAnsi="Times New Roman" w:hint="eastAsia"/>
                <w:sz w:val="24"/>
                <w:szCs w:val="24"/>
              </w:rPr>
              <w:t>在全球拥有</w:t>
            </w:r>
            <w:r w:rsidRPr="00B30549">
              <w:rPr>
                <w:rFonts w:ascii="Times New Roman" w:hAnsi="Times New Roman"/>
                <w:sz w:val="24"/>
                <w:szCs w:val="24"/>
              </w:rPr>
              <w:t>办事处网络，为璞米基金、璞米基金的普通合伙人和管理人以及其他璞米投资控股公司提供咨询和投资顾问服务。</w:t>
            </w:r>
          </w:p>
          <w:p w14:paraId="23CB46F7" w14:textId="055CA368" w:rsidR="002D7CDD" w:rsidRPr="00B30549" w:rsidRDefault="002D7CDD" w:rsidP="002D7CDD">
            <w:pPr>
              <w:rPr>
                <w:rFonts w:ascii="Times New Roman" w:hAnsi="Times New Roman"/>
                <w:sz w:val="24"/>
                <w:szCs w:val="24"/>
              </w:rPr>
            </w:pPr>
            <w:r w:rsidRPr="00B30549">
              <w:rPr>
                <w:rFonts w:ascii="Times New Roman" w:hAnsi="Times New Roman"/>
                <w:sz w:val="24"/>
                <w:szCs w:val="24"/>
              </w:rPr>
              <w:t>璞米的最终控制人</w:t>
            </w:r>
            <w:r w:rsidR="00127324">
              <w:rPr>
                <w:rFonts w:ascii="Times New Roman" w:hAnsi="Times New Roman" w:hint="eastAsia"/>
                <w:sz w:val="24"/>
                <w:szCs w:val="24"/>
              </w:rPr>
              <w:t>为</w:t>
            </w:r>
            <w:r w:rsidRPr="00B30549">
              <w:rPr>
                <w:rFonts w:ascii="Times New Roman" w:hAnsi="Times New Roman"/>
                <w:sz w:val="24"/>
                <w:szCs w:val="24"/>
              </w:rPr>
              <w:t>璞米控股有限公司，该公司作为璞米集团的最终母公司，负责管理和监督璞米集团的运营。</w:t>
            </w:r>
          </w:p>
        </w:tc>
      </w:tr>
      <w:tr w:rsidR="002D7CDD" w:rsidRPr="00B30549" w14:paraId="7B563948" w14:textId="77777777" w:rsidTr="00363D65">
        <w:trPr>
          <w:trHeight w:val="984"/>
        </w:trPr>
        <w:tc>
          <w:tcPr>
            <w:tcW w:w="1940" w:type="dxa"/>
            <w:vMerge/>
            <w:shd w:val="clear" w:color="auto" w:fill="D9D9D9"/>
            <w:vAlign w:val="center"/>
          </w:tcPr>
          <w:p w14:paraId="49281F4A" w14:textId="77777777" w:rsidR="002D7CDD" w:rsidRPr="00B30549" w:rsidRDefault="002D7CDD" w:rsidP="00363D65">
            <w:pPr>
              <w:pStyle w:val="af3"/>
              <w:adjustRightInd w:val="0"/>
              <w:snapToGrid w:val="0"/>
              <w:spacing w:after="0"/>
              <w:rPr>
                <w:rFonts w:cs="Times New Roman"/>
                <w:bCs/>
                <w:color w:val="000000"/>
                <w:lang w:val="en-US" w:eastAsia="zh-CN"/>
              </w:rPr>
            </w:pPr>
          </w:p>
        </w:tc>
        <w:tc>
          <w:tcPr>
            <w:tcW w:w="1607" w:type="dxa"/>
          </w:tcPr>
          <w:p w14:paraId="23453DFD" w14:textId="6BECAE29" w:rsidR="002D7CDD" w:rsidRPr="00B30549" w:rsidRDefault="002D7CDD" w:rsidP="00363D65">
            <w:pPr>
              <w:pStyle w:val="af3"/>
              <w:adjustRightInd w:val="0"/>
              <w:snapToGrid w:val="0"/>
              <w:spacing w:after="0"/>
              <w:rPr>
                <w:rFonts w:cs="Times New Roman"/>
                <w:bCs/>
                <w:color w:val="000000"/>
                <w:lang w:eastAsia="zh-CN"/>
              </w:rPr>
            </w:pPr>
            <w:r w:rsidRPr="00B30549">
              <w:rPr>
                <w:rFonts w:cs="Times New Roman"/>
                <w:kern w:val="2"/>
                <w:lang w:bidi="ar-SA"/>
              </w:rPr>
              <w:t>2.</w:t>
            </w:r>
            <w:r w:rsidRPr="00B30549">
              <w:rPr>
                <w:rFonts w:cs="Times New Roman"/>
                <w:kern w:val="2"/>
                <w:lang w:eastAsia="zh-CN" w:bidi="ar-SA"/>
              </w:rPr>
              <w:t>华平投资</w:t>
            </w:r>
          </w:p>
        </w:tc>
        <w:tc>
          <w:tcPr>
            <w:tcW w:w="6093" w:type="dxa"/>
          </w:tcPr>
          <w:p w14:paraId="6194E11C" w14:textId="7A0E8E2C" w:rsidR="002D7CDD" w:rsidRPr="00B30549" w:rsidRDefault="002D7CDD" w:rsidP="002D7CDD">
            <w:pPr>
              <w:rPr>
                <w:rFonts w:ascii="Times New Roman" w:hAnsi="Times New Roman"/>
                <w:sz w:val="24"/>
                <w:szCs w:val="24"/>
              </w:rPr>
            </w:pPr>
            <w:r w:rsidRPr="00B30549">
              <w:rPr>
                <w:rFonts w:ascii="Times New Roman" w:hAnsi="Times New Roman"/>
                <w:sz w:val="24"/>
                <w:szCs w:val="24"/>
              </w:rPr>
              <w:t>华平投资于</w:t>
            </w:r>
            <w:r w:rsidRPr="00B30549">
              <w:rPr>
                <w:rFonts w:ascii="Times New Roman" w:hAnsi="Times New Roman"/>
                <w:sz w:val="24"/>
                <w:szCs w:val="24"/>
              </w:rPr>
              <w:t>1966</w:t>
            </w:r>
            <w:r w:rsidRPr="00B30549">
              <w:rPr>
                <w:rFonts w:ascii="Times New Roman" w:hAnsi="Times New Roman"/>
                <w:sz w:val="24"/>
                <w:szCs w:val="24"/>
              </w:rPr>
              <w:t>年在美国成立，是一家全球性私募股权公司。其</w:t>
            </w:r>
            <w:r w:rsidR="00A12507">
              <w:rPr>
                <w:rFonts w:ascii="Times New Roman" w:hAnsi="Times New Roman" w:hint="eastAsia"/>
                <w:sz w:val="24"/>
                <w:szCs w:val="24"/>
              </w:rPr>
              <w:t>投资组合公司</w:t>
            </w:r>
            <w:r w:rsidRPr="00B30549">
              <w:rPr>
                <w:rFonts w:ascii="Times New Roman" w:hAnsi="Times New Roman"/>
                <w:sz w:val="24"/>
                <w:szCs w:val="24"/>
              </w:rPr>
              <w:t>活跃于多个行业，包括消费、能源、金融服务、医疗保健、工业与商业服务以及科技、媒体和电信领域。</w:t>
            </w:r>
          </w:p>
          <w:p w14:paraId="2841B1FF" w14:textId="44D9B123" w:rsidR="002D7CDD" w:rsidRPr="006F1F52" w:rsidRDefault="002D7CDD" w:rsidP="002D7CDD">
            <w:pPr>
              <w:rPr>
                <w:rFonts w:ascii="Times New Roman" w:hAnsi="Times New Roman"/>
                <w:sz w:val="24"/>
                <w:szCs w:val="24"/>
              </w:rPr>
            </w:pPr>
            <w:r w:rsidRPr="00B30549">
              <w:rPr>
                <w:rFonts w:ascii="Times New Roman" w:hAnsi="Times New Roman"/>
                <w:sz w:val="24"/>
                <w:szCs w:val="24"/>
              </w:rPr>
              <w:t>华平投资的最终控制人</w:t>
            </w:r>
            <w:r w:rsidR="00127324">
              <w:rPr>
                <w:rFonts w:ascii="Times New Roman" w:hAnsi="Times New Roman" w:hint="eastAsia"/>
                <w:sz w:val="24"/>
                <w:szCs w:val="24"/>
              </w:rPr>
              <w:t>为</w:t>
            </w:r>
            <w:r w:rsidRPr="00B30549">
              <w:rPr>
                <w:rFonts w:ascii="Times New Roman" w:hAnsi="Times New Roman"/>
                <w:sz w:val="24"/>
                <w:szCs w:val="24"/>
              </w:rPr>
              <w:t>自然人，其业务与华平投资的业务相同。</w:t>
            </w:r>
          </w:p>
        </w:tc>
      </w:tr>
      <w:tr w:rsidR="002D7CDD" w:rsidRPr="00B30549" w14:paraId="73C12235" w14:textId="77777777" w:rsidTr="00363D65">
        <w:trPr>
          <w:trHeight w:val="984"/>
        </w:trPr>
        <w:tc>
          <w:tcPr>
            <w:tcW w:w="1940" w:type="dxa"/>
            <w:vMerge/>
            <w:shd w:val="clear" w:color="auto" w:fill="D9D9D9"/>
            <w:vAlign w:val="center"/>
          </w:tcPr>
          <w:p w14:paraId="1AEBCE4A" w14:textId="77777777" w:rsidR="002D7CDD" w:rsidRPr="00B30549" w:rsidRDefault="002D7CDD" w:rsidP="00363D65">
            <w:pPr>
              <w:pStyle w:val="af3"/>
              <w:adjustRightInd w:val="0"/>
              <w:snapToGrid w:val="0"/>
              <w:spacing w:after="0"/>
              <w:rPr>
                <w:rFonts w:cs="Times New Roman"/>
                <w:bCs/>
                <w:color w:val="000000"/>
                <w:lang w:val="en-US" w:eastAsia="zh-CN"/>
              </w:rPr>
            </w:pPr>
          </w:p>
        </w:tc>
        <w:tc>
          <w:tcPr>
            <w:tcW w:w="1607" w:type="dxa"/>
          </w:tcPr>
          <w:p w14:paraId="6355B2CA" w14:textId="3ACA40E2" w:rsidR="002D7CDD" w:rsidRPr="00B30549" w:rsidRDefault="002D7CDD" w:rsidP="00363D65">
            <w:pPr>
              <w:pStyle w:val="af3"/>
              <w:adjustRightInd w:val="0"/>
              <w:snapToGrid w:val="0"/>
              <w:spacing w:after="0"/>
              <w:rPr>
                <w:rFonts w:cs="Times New Roman"/>
                <w:kern w:val="2"/>
                <w:lang w:eastAsia="zh-CN" w:bidi="ar-SA"/>
              </w:rPr>
            </w:pPr>
            <w:r w:rsidRPr="00B30549">
              <w:rPr>
                <w:rFonts w:cs="Times New Roman"/>
                <w:kern w:val="2"/>
                <w:lang w:eastAsia="zh-CN" w:bidi="ar-SA"/>
              </w:rPr>
              <w:t>3.CWAN</w:t>
            </w:r>
          </w:p>
        </w:tc>
        <w:tc>
          <w:tcPr>
            <w:tcW w:w="6093" w:type="dxa"/>
          </w:tcPr>
          <w:p w14:paraId="33BBDA36" w14:textId="4A5BC640" w:rsidR="002D7CDD" w:rsidRPr="00B30549" w:rsidRDefault="002D7CDD" w:rsidP="002D7CDD">
            <w:pPr>
              <w:rPr>
                <w:rFonts w:ascii="Times New Roman" w:hAnsi="Times New Roman"/>
                <w:sz w:val="24"/>
                <w:szCs w:val="24"/>
              </w:rPr>
            </w:pPr>
            <w:r w:rsidRPr="00B30549">
              <w:rPr>
                <w:rFonts w:ascii="Times New Roman" w:hAnsi="Times New Roman"/>
                <w:sz w:val="24"/>
                <w:szCs w:val="24"/>
              </w:rPr>
              <w:t>CWAN</w:t>
            </w:r>
            <w:r w:rsidRPr="00B30549">
              <w:rPr>
                <w:rFonts w:ascii="Times New Roman" w:hAnsi="Times New Roman"/>
                <w:sz w:val="24"/>
                <w:szCs w:val="24"/>
              </w:rPr>
              <w:t>于</w:t>
            </w:r>
            <w:r w:rsidRPr="00B30549">
              <w:rPr>
                <w:rFonts w:ascii="Times New Roman" w:hAnsi="Times New Roman"/>
                <w:sz w:val="24"/>
                <w:szCs w:val="24"/>
              </w:rPr>
              <w:t>2004</w:t>
            </w:r>
            <w:r w:rsidRPr="00B30549">
              <w:rPr>
                <w:rFonts w:ascii="Times New Roman" w:hAnsi="Times New Roman"/>
                <w:sz w:val="24"/>
                <w:szCs w:val="24"/>
              </w:rPr>
              <w:t>年</w:t>
            </w:r>
            <w:r w:rsidR="00C015B2">
              <w:rPr>
                <w:rFonts w:ascii="Times New Roman" w:hAnsi="Times New Roman" w:hint="eastAsia"/>
                <w:sz w:val="24"/>
                <w:szCs w:val="24"/>
              </w:rPr>
              <w:t>11</w:t>
            </w:r>
            <w:r w:rsidR="00C015B2">
              <w:rPr>
                <w:rFonts w:ascii="Times New Roman" w:hAnsi="Times New Roman" w:hint="eastAsia"/>
                <w:sz w:val="24"/>
                <w:szCs w:val="24"/>
              </w:rPr>
              <w:t>月</w:t>
            </w:r>
            <w:r w:rsidR="00C015B2">
              <w:rPr>
                <w:rFonts w:ascii="Times New Roman" w:hAnsi="Times New Roman" w:hint="eastAsia"/>
                <w:sz w:val="24"/>
                <w:szCs w:val="24"/>
              </w:rPr>
              <w:t>23</w:t>
            </w:r>
            <w:r w:rsidR="00C015B2">
              <w:rPr>
                <w:rFonts w:ascii="Times New Roman" w:hAnsi="Times New Roman" w:hint="eastAsia"/>
                <w:sz w:val="24"/>
                <w:szCs w:val="24"/>
              </w:rPr>
              <w:t>日</w:t>
            </w:r>
            <w:r w:rsidRPr="00B30549">
              <w:rPr>
                <w:rFonts w:ascii="Times New Roman" w:hAnsi="Times New Roman"/>
                <w:sz w:val="24"/>
                <w:szCs w:val="24"/>
              </w:rPr>
              <w:t>在美国成立，</w:t>
            </w:r>
            <w:r w:rsidR="006F1F52">
              <w:rPr>
                <w:rFonts w:ascii="Times New Roman" w:hAnsi="Times New Roman" w:hint="eastAsia"/>
                <w:sz w:val="24"/>
                <w:szCs w:val="24"/>
              </w:rPr>
              <w:t>为</w:t>
            </w:r>
            <w:r w:rsidRPr="00B30549">
              <w:rPr>
                <w:rFonts w:ascii="Times New Roman" w:hAnsi="Times New Roman"/>
                <w:sz w:val="24"/>
                <w:szCs w:val="24"/>
              </w:rPr>
              <w:t>纽约证券交易所上市</w:t>
            </w:r>
            <w:r w:rsidR="006F1F52">
              <w:rPr>
                <w:rFonts w:ascii="Times New Roman" w:hAnsi="Times New Roman" w:hint="eastAsia"/>
                <w:sz w:val="24"/>
                <w:szCs w:val="24"/>
              </w:rPr>
              <w:t>公司，</w:t>
            </w:r>
            <w:r w:rsidRPr="00B30549">
              <w:rPr>
                <w:rFonts w:ascii="Times New Roman" w:hAnsi="Times New Roman"/>
                <w:sz w:val="24"/>
                <w:szCs w:val="24"/>
              </w:rPr>
              <w:t>主要</w:t>
            </w:r>
            <w:r w:rsidR="00A12507">
              <w:rPr>
                <w:rFonts w:ascii="Times New Roman" w:hAnsi="Times New Roman" w:hint="eastAsia"/>
                <w:sz w:val="24"/>
                <w:szCs w:val="24"/>
              </w:rPr>
              <w:t>业务为</w:t>
            </w:r>
            <w:r w:rsidRPr="00B30549">
              <w:rPr>
                <w:rFonts w:ascii="Times New Roman" w:hAnsi="Times New Roman"/>
                <w:sz w:val="24"/>
                <w:szCs w:val="24"/>
              </w:rPr>
              <w:t>提供投资管理软件。</w:t>
            </w:r>
          </w:p>
          <w:p w14:paraId="69B8DB47" w14:textId="74696F14" w:rsidR="002D7CDD" w:rsidRPr="00B30549" w:rsidRDefault="002D7CDD" w:rsidP="002D7CDD">
            <w:pPr>
              <w:rPr>
                <w:rFonts w:ascii="Times New Roman" w:hAnsi="Times New Roman"/>
                <w:sz w:val="24"/>
                <w:szCs w:val="24"/>
              </w:rPr>
            </w:pPr>
            <w:r w:rsidRPr="00B30549">
              <w:rPr>
                <w:rFonts w:ascii="Times New Roman" w:hAnsi="Times New Roman"/>
                <w:sz w:val="24"/>
                <w:szCs w:val="24"/>
              </w:rPr>
              <w:t>CWAN</w:t>
            </w:r>
            <w:r w:rsidR="006F1F52">
              <w:rPr>
                <w:rFonts w:ascii="Times New Roman" w:hAnsi="Times New Roman" w:hint="eastAsia"/>
                <w:sz w:val="24"/>
                <w:szCs w:val="24"/>
              </w:rPr>
              <w:t>无</w:t>
            </w:r>
            <w:r w:rsidRPr="00B30549">
              <w:rPr>
                <w:rFonts w:ascii="Times New Roman" w:hAnsi="Times New Roman"/>
                <w:sz w:val="24"/>
                <w:szCs w:val="24"/>
              </w:rPr>
              <w:t>最终控制人。</w:t>
            </w:r>
          </w:p>
        </w:tc>
      </w:tr>
      <w:tr w:rsidR="009C165C" w:rsidRPr="00B30549" w14:paraId="4279ECEB" w14:textId="77777777" w:rsidTr="00363D65">
        <w:trPr>
          <w:trHeight w:val="279"/>
        </w:trPr>
        <w:tc>
          <w:tcPr>
            <w:tcW w:w="1940" w:type="dxa"/>
            <w:vMerge w:val="restart"/>
            <w:shd w:val="clear" w:color="auto" w:fill="D9D9D9"/>
            <w:vAlign w:val="center"/>
          </w:tcPr>
          <w:p w14:paraId="35E08175"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t>简易案件理由（可以单选，也可以多选）</w:t>
            </w:r>
          </w:p>
        </w:tc>
        <w:tc>
          <w:tcPr>
            <w:tcW w:w="7700" w:type="dxa"/>
            <w:gridSpan w:val="2"/>
            <w:vAlign w:val="center"/>
          </w:tcPr>
          <w:p w14:paraId="00D33A8D" w14:textId="432E1AF8" w:rsidR="009C165C" w:rsidRPr="00B30549" w:rsidRDefault="002D7CDD"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A8"/>
            </w:r>
            <w:r w:rsidR="009C165C" w:rsidRPr="00B30549">
              <w:rPr>
                <w:rFonts w:cs="Times New Roman"/>
                <w:bCs/>
                <w:color w:val="000000"/>
                <w:lang w:eastAsia="zh-CN"/>
              </w:rPr>
              <w:t xml:space="preserve"> 1</w:t>
            </w:r>
            <w:r w:rsidR="009C165C" w:rsidRPr="00B30549">
              <w:rPr>
                <w:rFonts w:cs="Times New Roman"/>
                <w:bCs/>
                <w:color w:val="000000"/>
                <w:lang w:eastAsia="zh-CN"/>
              </w:rPr>
              <w:t>、在同一相关市场，所有参与集中的经营者所占市场份额之和小于</w:t>
            </w:r>
            <w:r w:rsidR="009C165C" w:rsidRPr="00B30549">
              <w:rPr>
                <w:rFonts w:cs="Times New Roman"/>
                <w:bCs/>
                <w:color w:val="000000"/>
                <w:lang w:eastAsia="zh-CN"/>
              </w:rPr>
              <w:t>15%</w:t>
            </w:r>
            <w:r w:rsidR="009C165C" w:rsidRPr="00B30549">
              <w:rPr>
                <w:rFonts w:cs="Times New Roman"/>
                <w:bCs/>
                <w:color w:val="000000"/>
                <w:lang w:eastAsia="zh-CN"/>
              </w:rPr>
              <w:t>。</w:t>
            </w:r>
          </w:p>
        </w:tc>
      </w:tr>
      <w:tr w:rsidR="009C165C" w:rsidRPr="00B30549" w14:paraId="7BC96223" w14:textId="77777777" w:rsidTr="00363D65">
        <w:trPr>
          <w:trHeight w:val="330"/>
        </w:trPr>
        <w:tc>
          <w:tcPr>
            <w:tcW w:w="1940" w:type="dxa"/>
            <w:vMerge/>
            <w:shd w:val="clear" w:color="auto" w:fill="D9D9D9"/>
            <w:vAlign w:val="center"/>
          </w:tcPr>
          <w:p w14:paraId="5A82C7F7" w14:textId="77777777" w:rsidR="009C165C" w:rsidRPr="00B30549" w:rsidRDefault="009C165C" w:rsidP="00363D65">
            <w:pPr>
              <w:pStyle w:val="af3"/>
              <w:adjustRightInd w:val="0"/>
              <w:snapToGrid w:val="0"/>
              <w:spacing w:after="0"/>
              <w:rPr>
                <w:rFonts w:cs="Times New Roman"/>
                <w:bCs/>
                <w:color w:val="000000"/>
                <w:lang w:val="en-US" w:eastAsia="zh-CN"/>
              </w:rPr>
            </w:pPr>
          </w:p>
        </w:tc>
        <w:tc>
          <w:tcPr>
            <w:tcW w:w="7700" w:type="dxa"/>
            <w:gridSpan w:val="2"/>
            <w:vAlign w:val="center"/>
          </w:tcPr>
          <w:p w14:paraId="663E36CE"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A8"/>
            </w:r>
            <w:r w:rsidRPr="00B30549">
              <w:rPr>
                <w:rFonts w:cs="Times New Roman"/>
                <w:bCs/>
                <w:color w:val="000000"/>
                <w:lang w:eastAsia="zh-CN"/>
              </w:rPr>
              <w:t xml:space="preserve"> 2</w:t>
            </w:r>
            <w:r w:rsidRPr="00B30549">
              <w:rPr>
                <w:rFonts w:cs="Times New Roman"/>
                <w:bCs/>
                <w:color w:val="000000"/>
                <w:lang w:eastAsia="zh-CN"/>
              </w:rPr>
              <w:t>、存在上下游关系的参与集中的经营者，在上下游市场所占的市场份额均小于</w:t>
            </w:r>
            <w:r w:rsidRPr="00B30549">
              <w:rPr>
                <w:rFonts w:cs="Times New Roman"/>
                <w:bCs/>
                <w:color w:val="000000"/>
                <w:lang w:eastAsia="zh-CN"/>
              </w:rPr>
              <w:t>25%</w:t>
            </w:r>
            <w:r w:rsidRPr="00B30549">
              <w:rPr>
                <w:rFonts w:cs="Times New Roman"/>
                <w:bCs/>
                <w:color w:val="000000"/>
                <w:lang w:eastAsia="zh-CN"/>
              </w:rPr>
              <w:t>。</w:t>
            </w:r>
          </w:p>
        </w:tc>
      </w:tr>
      <w:tr w:rsidR="009C165C" w:rsidRPr="00B30549" w14:paraId="1208E3F3" w14:textId="77777777" w:rsidTr="00363D65">
        <w:trPr>
          <w:trHeight w:val="285"/>
        </w:trPr>
        <w:tc>
          <w:tcPr>
            <w:tcW w:w="1940" w:type="dxa"/>
            <w:vMerge/>
            <w:shd w:val="clear" w:color="auto" w:fill="D9D9D9"/>
            <w:vAlign w:val="center"/>
          </w:tcPr>
          <w:p w14:paraId="77C6C8BB" w14:textId="77777777" w:rsidR="009C165C" w:rsidRPr="00B30549" w:rsidRDefault="009C165C" w:rsidP="00363D65">
            <w:pPr>
              <w:pStyle w:val="af3"/>
              <w:adjustRightInd w:val="0"/>
              <w:snapToGrid w:val="0"/>
              <w:spacing w:after="0"/>
              <w:rPr>
                <w:rFonts w:cs="Times New Roman"/>
                <w:bCs/>
                <w:color w:val="000000"/>
                <w:lang w:val="en-US" w:eastAsia="zh-CN"/>
              </w:rPr>
            </w:pPr>
          </w:p>
        </w:tc>
        <w:tc>
          <w:tcPr>
            <w:tcW w:w="7700" w:type="dxa"/>
            <w:gridSpan w:val="2"/>
            <w:vAlign w:val="center"/>
          </w:tcPr>
          <w:p w14:paraId="200F9D0E" w14:textId="54ECE40B" w:rsidR="009C165C" w:rsidRPr="00B30549" w:rsidRDefault="002D7CDD"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FE"/>
            </w:r>
            <w:r w:rsidR="009C165C" w:rsidRPr="00B30549">
              <w:rPr>
                <w:rFonts w:cs="Times New Roman"/>
                <w:bCs/>
                <w:color w:val="000000"/>
                <w:lang w:eastAsia="zh-CN"/>
              </w:rPr>
              <w:t xml:space="preserve"> 3</w:t>
            </w:r>
            <w:r w:rsidR="009C165C" w:rsidRPr="00B30549">
              <w:rPr>
                <w:rFonts w:cs="Times New Roman"/>
                <w:bCs/>
                <w:color w:val="000000"/>
                <w:lang w:eastAsia="zh-CN"/>
              </w:rPr>
              <w:t>、不在同一相关市场、也不存在上下游关系的参与集中的经营者，在与交易有关的每个市场所占的份额均小于</w:t>
            </w:r>
            <w:r w:rsidR="009C165C" w:rsidRPr="00B30549">
              <w:rPr>
                <w:rFonts w:cs="Times New Roman"/>
                <w:bCs/>
                <w:color w:val="000000"/>
                <w:lang w:eastAsia="zh-CN"/>
              </w:rPr>
              <w:t>25%</w:t>
            </w:r>
            <w:r w:rsidR="009C165C" w:rsidRPr="00B30549">
              <w:rPr>
                <w:rFonts w:cs="Times New Roman"/>
                <w:bCs/>
                <w:color w:val="000000"/>
                <w:lang w:eastAsia="zh-CN"/>
              </w:rPr>
              <w:t>。</w:t>
            </w:r>
          </w:p>
        </w:tc>
      </w:tr>
      <w:tr w:rsidR="009C165C" w:rsidRPr="00B30549" w14:paraId="561E0E6B" w14:textId="77777777" w:rsidTr="00363D65">
        <w:trPr>
          <w:trHeight w:val="870"/>
        </w:trPr>
        <w:tc>
          <w:tcPr>
            <w:tcW w:w="1940" w:type="dxa"/>
            <w:vMerge/>
            <w:shd w:val="clear" w:color="auto" w:fill="D9D9D9"/>
            <w:vAlign w:val="center"/>
          </w:tcPr>
          <w:p w14:paraId="7A1DAE27" w14:textId="77777777" w:rsidR="009C165C" w:rsidRPr="00B30549" w:rsidRDefault="009C165C" w:rsidP="00363D65">
            <w:pPr>
              <w:pStyle w:val="af3"/>
              <w:adjustRightInd w:val="0"/>
              <w:snapToGrid w:val="0"/>
              <w:spacing w:after="0"/>
              <w:rPr>
                <w:rFonts w:cs="Times New Roman"/>
                <w:bCs/>
                <w:color w:val="000000"/>
                <w:lang w:val="en-US" w:eastAsia="zh-CN"/>
              </w:rPr>
            </w:pPr>
          </w:p>
        </w:tc>
        <w:tc>
          <w:tcPr>
            <w:tcW w:w="7700" w:type="dxa"/>
            <w:gridSpan w:val="2"/>
            <w:vAlign w:val="center"/>
          </w:tcPr>
          <w:p w14:paraId="5FAEF5F1"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A8"/>
            </w:r>
            <w:r w:rsidRPr="00B30549">
              <w:rPr>
                <w:rFonts w:cs="Times New Roman"/>
                <w:bCs/>
                <w:color w:val="000000"/>
                <w:lang w:eastAsia="zh-CN"/>
              </w:rPr>
              <w:t xml:space="preserve"> 4</w:t>
            </w:r>
            <w:r w:rsidRPr="00B30549">
              <w:rPr>
                <w:rFonts w:cs="Times New Roman"/>
                <w:bCs/>
                <w:color w:val="000000"/>
                <w:lang w:eastAsia="zh-CN"/>
              </w:rPr>
              <w:t>、参与集中的经营者在中国境外设立合营企业，合营企业不在中国境内从事经济活动。</w:t>
            </w:r>
          </w:p>
        </w:tc>
      </w:tr>
      <w:tr w:rsidR="009C165C" w:rsidRPr="00B30549" w14:paraId="22E1512B" w14:textId="77777777" w:rsidTr="00363D65">
        <w:trPr>
          <w:trHeight w:val="264"/>
        </w:trPr>
        <w:tc>
          <w:tcPr>
            <w:tcW w:w="1940" w:type="dxa"/>
            <w:vMerge/>
            <w:shd w:val="clear" w:color="auto" w:fill="D9D9D9"/>
            <w:vAlign w:val="center"/>
          </w:tcPr>
          <w:p w14:paraId="5A1BFFFA" w14:textId="77777777" w:rsidR="009C165C" w:rsidRPr="00B30549" w:rsidRDefault="009C165C" w:rsidP="00363D65">
            <w:pPr>
              <w:pStyle w:val="af3"/>
              <w:adjustRightInd w:val="0"/>
              <w:snapToGrid w:val="0"/>
              <w:spacing w:after="0"/>
              <w:rPr>
                <w:rFonts w:cs="Times New Roman"/>
                <w:bCs/>
                <w:color w:val="000000"/>
                <w:lang w:val="en-US" w:eastAsia="zh-CN"/>
              </w:rPr>
            </w:pPr>
          </w:p>
        </w:tc>
        <w:tc>
          <w:tcPr>
            <w:tcW w:w="7700" w:type="dxa"/>
            <w:gridSpan w:val="2"/>
            <w:vAlign w:val="center"/>
          </w:tcPr>
          <w:p w14:paraId="7F38033E"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A8"/>
            </w:r>
            <w:r w:rsidRPr="00B30549">
              <w:rPr>
                <w:rFonts w:cs="Times New Roman"/>
                <w:bCs/>
                <w:color w:val="000000"/>
                <w:lang w:eastAsia="zh-CN"/>
              </w:rPr>
              <w:t xml:space="preserve"> 5</w:t>
            </w:r>
            <w:r w:rsidRPr="00B30549">
              <w:rPr>
                <w:rFonts w:cs="Times New Roman"/>
                <w:bCs/>
                <w:color w:val="000000"/>
                <w:lang w:eastAsia="zh-CN"/>
              </w:rPr>
              <w:t>、参与集中的经营者收购境外企业股权或资产的，该境外企业不在中国境内从事经济活动。</w:t>
            </w:r>
          </w:p>
        </w:tc>
      </w:tr>
      <w:tr w:rsidR="009C165C" w:rsidRPr="00B30549" w14:paraId="60E70B34" w14:textId="77777777" w:rsidTr="00363D65">
        <w:trPr>
          <w:trHeight w:val="345"/>
        </w:trPr>
        <w:tc>
          <w:tcPr>
            <w:tcW w:w="1940" w:type="dxa"/>
            <w:vMerge/>
            <w:shd w:val="clear" w:color="auto" w:fill="D9D9D9"/>
            <w:vAlign w:val="center"/>
          </w:tcPr>
          <w:p w14:paraId="38F3AAF9" w14:textId="77777777" w:rsidR="009C165C" w:rsidRPr="00B30549" w:rsidRDefault="009C165C" w:rsidP="00363D65">
            <w:pPr>
              <w:pStyle w:val="af3"/>
              <w:adjustRightInd w:val="0"/>
              <w:snapToGrid w:val="0"/>
              <w:spacing w:after="0"/>
              <w:rPr>
                <w:rFonts w:cs="Times New Roman"/>
                <w:bCs/>
                <w:color w:val="000000"/>
                <w:lang w:val="en-US" w:eastAsia="zh-CN"/>
              </w:rPr>
            </w:pPr>
          </w:p>
        </w:tc>
        <w:tc>
          <w:tcPr>
            <w:tcW w:w="7700" w:type="dxa"/>
            <w:gridSpan w:val="2"/>
            <w:vAlign w:val="center"/>
          </w:tcPr>
          <w:p w14:paraId="76F2EFD1"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eastAsia="zh-CN"/>
              </w:rPr>
              <w:sym w:font="Wingdings" w:char="00A8"/>
            </w:r>
            <w:r w:rsidRPr="00B30549">
              <w:rPr>
                <w:rFonts w:cs="Times New Roman"/>
                <w:bCs/>
                <w:color w:val="000000"/>
                <w:lang w:eastAsia="zh-CN"/>
              </w:rPr>
              <w:t xml:space="preserve"> 6</w:t>
            </w:r>
            <w:r w:rsidRPr="00B30549">
              <w:rPr>
                <w:rFonts w:cs="Times New Roman"/>
                <w:bCs/>
                <w:color w:val="000000"/>
                <w:lang w:eastAsia="zh-CN"/>
              </w:rPr>
              <w:t>、由两个以上的经营者共同控制的合营企业，通过集中被其中一个或一个以上经营者控制。</w:t>
            </w:r>
          </w:p>
        </w:tc>
      </w:tr>
      <w:tr w:rsidR="009C165C" w:rsidRPr="00B30549" w14:paraId="3B19A040" w14:textId="77777777" w:rsidTr="00363D65">
        <w:trPr>
          <w:trHeight w:val="545"/>
        </w:trPr>
        <w:tc>
          <w:tcPr>
            <w:tcW w:w="1940" w:type="dxa"/>
            <w:shd w:val="clear" w:color="auto" w:fill="D9D9D9"/>
            <w:vAlign w:val="center"/>
          </w:tcPr>
          <w:p w14:paraId="1AA5A17C" w14:textId="77777777" w:rsidR="009C165C" w:rsidRPr="00B30549" w:rsidRDefault="009C165C" w:rsidP="00363D65">
            <w:pPr>
              <w:pStyle w:val="af3"/>
              <w:adjustRightInd w:val="0"/>
              <w:snapToGrid w:val="0"/>
              <w:spacing w:after="0"/>
              <w:rPr>
                <w:rFonts w:cs="Times New Roman"/>
                <w:bCs/>
                <w:color w:val="000000"/>
                <w:lang w:val="en-US" w:eastAsia="zh-CN"/>
              </w:rPr>
            </w:pPr>
            <w:r w:rsidRPr="00B30549">
              <w:rPr>
                <w:rFonts w:cs="Times New Roman"/>
                <w:bCs/>
                <w:color w:val="000000"/>
                <w:lang w:val="en-US" w:eastAsia="zh-CN"/>
              </w:rPr>
              <w:t>备注</w:t>
            </w:r>
          </w:p>
        </w:tc>
        <w:tc>
          <w:tcPr>
            <w:tcW w:w="7700" w:type="dxa"/>
            <w:gridSpan w:val="2"/>
            <w:vAlign w:val="center"/>
          </w:tcPr>
          <w:p w14:paraId="6FA58143" w14:textId="1369D400" w:rsidR="00A76EB3" w:rsidRDefault="002D7CDD" w:rsidP="00363D65">
            <w:pPr>
              <w:pStyle w:val="af3"/>
              <w:adjustRightInd w:val="0"/>
              <w:snapToGrid w:val="0"/>
              <w:spacing w:after="0"/>
              <w:rPr>
                <w:rFonts w:cs="Times New Roman"/>
                <w:b/>
                <w:color w:val="000000"/>
                <w:lang w:eastAsia="zh-CN"/>
              </w:rPr>
            </w:pPr>
            <w:r w:rsidRPr="00B30549">
              <w:rPr>
                <w:rFonts w:cs="Times New Roman"/>
                <w:b/>
                <w:color w:val="000000"/>
                <w:lang w:eastAsia="zh-CN"/>
              </w:rPr>
              <w:t>混合集中</w:t>
            </w:r>
            <w:r w:rsidR="001A7877" w:rsidRPr="00B30549">
              <w:rPr>
                <w:rFonts w:cs="Times New Roman"/>
                <w:b/>
                <w:color w:val="000000"/>
                <w:lang w:eastAsia="zh-CN"/>
              </w:rPr>
              <w:t>：</w:t>
            </w:r>
          </w:p>
          <w:p w14:paraId="5F05FCAD" w14:textId="019BC795" w:rsidR="006F1F52" w:rsidRPr="006F1F52" w:rsidRDefault="006F1F52" w:rsidP="00363D65">
            <w:pPr>
              <w:pStyle w:val="af3"/>
              <w:adjustRightInd w:val="0"/>
              <w:snapToGrid w:val="0"/>
              <w:spacing w:after="0"/>
              <w:rPr>
                <w:rFonts w:cs="Times New Roman"/>
                <w:bCs/>
                <w:color w:val="000000"/>
                <w:lang w:eastAsia="zh-CN"/>
              </w:rPr>
            </w:pPr>
            <w:r w:rsidRPr="006F1F52">
              <w:rPr>
                <w:rFonts w:cs="Times New Roman" w:hint="eastAsia"/>
                <w:bCs/>
                <w:color w:val="000000"/>
                <w:lang w:eastAsia="zh-CN"/>
              </w:rPr>
              <w:t>2024</w:t>
            </w:r>
            <w:r w:rsidRPr="006F1F52">
              <w:rPr>
                <w:rFonts w:cs="Times New Roman" w:hint="eastAsia"/>
                <w:bCs/>
                <w:color w:val="000000"/>
                <w:lang w:eastAsia="zh-CN"/>
              </w:rPr>
              <w:t>年中国</w:t>
            </w:r>
            <w:r w:rsidR="00DE05D7">
              <w:rPr>
                <w:rFonts w:cs="Times New Roman" w:hint="eastAsia"/>
                <w:bCs/>
                <w:color w:val="000000"/>
                <w:lang w:eastAsia="zh-CN"/>
              </w:rPr>
              <w:t>境内</w:t>
            </w:r>
            <w:r w:rsidRPr="006F1F52">
              <w:rPr>
                <w:rFonts w:cs="Times New Roman" w:hint="eastAsia"/>
                <w:bCs/>
                <w:color w:val="000000"/>
                <w:lang w:eastAsia="zh-CN"/>
              </w:rPr>
              <w:t>投资管理软件市场：</w:t>
            </w:r>
          </w:p>
          <w:p w14:paraId="6B30682E" w14:textId="5C2B54AF" w:rsidR="009D1EFA" w:rsidRPr="006F1F52" w:rsidRDefault="006F1F52" w:rsidP="009D1EFA">
            <w:pPr>
              <w:pStyle w:val="af3"/>
              <w:adjustRightInd w:val="0"/>
              <w:snapToGrid w:val="0"/>
              <w:spacing w:after="0"/>
              <w:rPr>
                <w:rFonts w:cs="Times New Roman"/>
                <w:b/>
                <w:color w:val="000000"/>
                <w:lang w:eastAsia="zh-CN"/>
              </w:rPr>
            </w:pPr>
            <w:r w:rsidRPr="00B30549">
              <w:t>CWA</w:t>
            </w:r>
            <w:r>
              <w:rPr>
                <w:rFonts w:hint="eastAsia"/>
              </w:rPr>
              <w:t>N</w:t>
            </w:r>
            <w:r w:rsidRPr="00B30549">
              <w:t>：</w:t>
            </w:r>
            <w:r w:rsidRPr="00B30549">
              <w:t>[0-5%]</w:t>
            </w:r>
          </w:p>
        </w:tc>
      </w:tr>
    </w:tbl>
    <w:p w14:paraId="2E53B6EC" w14:textId="77777777" w:rsidR="003356DD" w:rsidRPr="00B30549" w:rsidRDefault="003356DD">
      <w:pPr>
        <w:rPr>
          <w:rFonts w:ascii="Times New Roman" w:hAnsi="Times New Roman"/>
        </w:rPr>
      </w:pPr>
    </w:p>
    <w:sectPr w:rsidR="003356DD" w:rsidRPr="00B305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1565" w14:textId="77777777" w:rsidR="000B5062" w:rsidRDefault="000B5062" w:rsidP="009C165C">
      <w:r>
        <w:separator/>
      </w:r>
    </w:p>
  </w:endnote>
  <w:endnote w:type="continuationSeparator" w:id="0">
    <w:p w14:paraId="4205243A" w14:textId="77777777" w:rsidR="000B5062" w:rsidRDefault="000B5062" w:rsidP="009C1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428C" w14:textId="77777777" w:rsidR="000B5062" w:rsidRDefault="000B5062" w:rsidP="009C165C">
      <w:r>
        <w:separator/>
      </w:r>
    </w:p>
  </w:footnote>
  <w:footnote w:type="continuationSeparator" w:id="0">
    <w:p w14:paraId="5C1BF95A" w14:textId="77777777" w:rsidR="000B5062" w:rsidRDefault="000B5062" w:rsidP="009C16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6DD"/>
    <w:rsid w:val="000100CA"/>
    <w:rsid w:val="00015DD3"/>
    <w:rsid w:val="000646C0"/>
    <w:rsid w:val="000B5062"/>
    <w:rsid w:val="000F4CE9"/>
    <w:rsid w:val="001072EF"/>
    <w:rsid w:val="00127324"/>
    <w:rsid w:val="0013570C"/>
    <w:rsid w:val="0015064B"/>
    <w:rsid w:val="00160F6B"/>
    <w:rsid w:val="0019012F"/>
    <w:rsid w:val="001A2758"/>
    <w:rsid w:val="001A7877"/>
    <w:rsid w:val="001E796F"/>
    <w:rsid w:val="00202D4C"/>
    <w:rsid w:val="00226ADD"/>
    <w:rsid w:val="002549D0"/>
    <w:rsid w:val="002C6DD4"/>
    <w:rsid w:val="002D7CDD"/>
    <w:rsid w:val="003009E5"/>
    <w:rsid w:val="003356DD"/>
    <w:rsid w:val="003A282E"/>
    <w:rsid w:val="003A5E3D"/>
    <w:rsid w:val="003F4846"/>
    <w:rsid w:val="00425A7B"/>
    <w:rsid w:val="004B28D1"/>
    <w:rsid w:val="004C6F67"/>
    <w:rsid w:val="004F2EA3"/>
    <w:rsid w:val="00501B26"/>
    <w:rsid w:val="005B0956"/>
    <w:rsid w:val="006102E3"/>
    <w:rsid w:val="006F1F52"/>
    <w:rsid w:val="00713F7A"/>
    <w:rsid w:val="00733D06"/>
    <w:rsid w:val="00734E29"/>
    <w:rsid w:val="00746A4F"/>
    <w:rsid w:val="00747B58"/>
    <w:rsid w:val="007A3B82"/>
    <w:rsid w:val="007C66C2"/>
    <w:rsid w:val="007E3EF6"/>
    <w:rsid w:val="008D59CC"/>
    <w:rsid w:val="008E0C81"/>
    <w:rsid w:val="008F6D3C"/>
    <w:rsid w:val="0091579D"/>
    <w:rsid w:val="00926CA9"/>
    <w:rsid w:val="00961AF6"/>
    <w:rsid w:val="00977404"/>
    <w:rsid w:val="0098666E"/>
    <w:rsid w:val="00986EF9"/>
    <w:rsid w:val="009A39FD"/>
    <w:rsid w:val="009C165C"/>
    <w:rsid w:val="009D1EFA"/>
    <w:rsid w:val="009D2BC2"/>
    <w:rsid w:val="009E740F"/>
    <w:rsid w:val="00A12507"/>
    <w:rsid w:val="00A27FD9"/>
    <w:rsid w:val="00A5131D"/>
    <w:rsid w:val="00A76EB3"/>
    <w:rsid w:val="00AA55B5"/>
    <w:rsid w:val="00AA59DD"/>
    <w:rsid w:val="00AF14B4"/>
    <w:rsid w:val="00B30549"/>
    <w:rsid w:val="00B5159C"/>
    <w:rsid w:val="00B842DA"/>
    <w:rsid w:val="00C015B2"/>
    <w:rsid w:val="00C022F9"/>
    <w:rsid w:val="00C03DDF"/>
    <w:rsid w:val="00CE275E"/>
    <w:rsid w:val="00CF20C8"/>
    <w:rsid w:val="00D83744"/>
    <w:rsid w:val="00D926EA"/>
    <w:rsid w:val="00DB32F9"/>
    <w:rsid w:val="00DD12F5"/>
    <w:rsid w:val="00DE05D7"/>
    <w:rsid w:val="00DF5720"/>
    <w:rsid w:val="00E242EF"/>
    <w:rsid w:val="00EF033D"/>
    <w:rsid w:val="00EF75EA"/>
    <w:rsid w:val="00F4584F"/>
    <w:rsid w:val="00F64383"/>
    <w:rsid w:val="00F85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520B2"/>
  <w15:chartTrackingRefBased/>
  <w15:docId w15:val="{990D5448-05A6-461A-9923-1C9A908D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65C"/>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uiPriority w:val="9"/>
    <w:qFormat/>
    <w:rsid w:val="003356DD"/>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3356DD"/>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3356DD"/>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3356DD"/>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3356DD"/>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3356DD"/>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3356DD"/>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356DD"/>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356DD"/>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56D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56D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56D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56DD"/>
    <w:rPr>
      <w:rFonts w:cstheme="majorBidi"/>
      <w:color w:val="2F5496" w:themeColor="accent1" w:themeShade="BF"/>
      <w:sz w:val="28"/>
      <w:szCs w:val="28"/>
    </w:rPr>
  </w:style>
  <w:style w:type="character" w:customStyle="1" w:styleId="50">
    <w:name w:val="标题 5 字符"/>
    <w:basedOn w:val="a0"/>
    <w:link w:val="5"/>
    <w:uiPriority w:val="9"/>
    <w:semiHidden/>
    <w:rsid w:val="003356DD"/>
    <w:rPr>
      <w:rFonts w:cstheme="majorBidi"/>
      <w:color w:val="2F5496" w:themeColor="accent1" w:themeShade="BF"/>
      <w:sz w:val="24"/>
    </w:rPr>
  </w:style>
  <w:style w:type="character" w:customStyle="1" w:styleId="60">
    <w:name w:val="标题 6 字符"/>
    <w:basedOn w:val="a0"/>
    <w:link w:val="6"/>
    <w:uiPriority w:val="9"/>
    <w:semiHidden/>
    <w:rsid w:val="003356DD"/>
    <w:rPr>
      <w:rFonts w:cstheme="majorBidi"/>
      <w:b/>
      <w:bCs/>
      <w:color w:val="2F5496" w:themeColor="accent1" w:themeShade="BF"/>
    </w:rPr>
  </w:style>
  <w:style w:type="character" w:customStyle="1" w:styleId="70">
    <w:name w:val="标题 7 字符"/>
    <w:basedOn w:val="a0"/>
    <w:link w:val="7"/>
    <w:uiPriority w:val="9"/>
    <w:semiHidden/>
    <w:rsid w:val="003356DD"/>
    <w:rPr>
      <w:rFonts w:cstheme="majorBidi"/>
      <w:b/>
      <w:bCs/>
      <w:color w:val="595959" w:themeColor="text1" w:themeTint="A6"/>
    </w:rPr>
  </w:style>
  <w:style w:type="character" w:customStyle="1" w:styleId="80">
    <w:name w:val="标题 8 字符"/>
    <w:basedOn w:val="a0"/>
    <w:link w:val="8"/>
    <w:uiPriority w:val="9"/>
    <w:semiHidden/>
    <w:rsid w:val="003356DD"/>
    <w:rPr>
      <w:rFonts w:cstheme="majorBidi"/>
      <w:color w:val="595959" w:themeColor="text1" w:themeTint="A6"/>
    </w:rPr>
  </w:style>
  <w:style w:type="character" w:customStyle="1" w:styleId="90">
    <w:name w:val="标题 9 字符"/>
    <w:basedOn w:val="a0"/>
    <w:link w:val="9"/>
    <w:uiPriority w:val="9"/>
    <w:semiHidden/>
    <w:rsid w:val="003356DD"/>
    <w:rPr>
      <w:rFonts w:eastAsiaTheme="majorEastAsia" w:cstheme="majorBidi"/>
      <w:color w:val="595959" w:themeColor="text1" w:themeTint="A6"/>
    </w:rPr>
  </w:style>
  <w:style w:type="paragraph" w:styleId="a3">
    <w:name w:val="Title"/>
    <w:basedOn w:val="a"/>
    <w:next w:val="a"/>
    <w:link w:val="a4"/>
    <w:uiPriority w:val="10"/>
    <w:qFormat/>
    <w:rsid w:val="003356D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356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56D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356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56DD"/>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356DD"/>
    <w:rPr>
      <w:i/>
      <w:iCs/>
      <w:color w:val="404040" w:themeColor="text1" w:themeTint="BF"/>
    </w:rPr>
  </w:style>
  <w:style w:type="paragraph" w:styleId="a9">
    <w:name w:val="List Paragraph"/>
    <w:basedOn w:val="a"/>
    <w:uiPriority w:val="34"/>
    <w:qFormat/>
    <w:rsid w:val="003356DD"/>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356DD"/>
    <w:rPr>
      <w:i/>
      <w:iCs/>
      <w:color w:val="2F5496" w:themeColor="accent1" w:themeShade="BF"/>
    </w:rPr>
  </w:style>
  <w:style w:type="paragraph" w:styleId="ab">
    <w:name w:val="Intense Quote"/>
    <w:basedOn w:val="a"/>
    <w:next w:val="a"/>
    <w:link w:val="ac"/>
    <w:uiPriority w:val="30"/>
    <w:qFormat/>
    <w:rsid w:val="003356D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3356DD"/>
    <w:rPr>
      <w:i/>
      <w:iCs/>
      <w:color w:val="2F5496" w:themeColor="accent1" w:themeShade="BF"/>
    </w:rPr>
  </w:style>
  <w:style w:type="character" w:styleId="ad">
    <w:name w:val="Intense Reference"/>
    <w:basedOn w:val="a0"/>
    <w:uiPriority w:val="32"/>
    <w:qFormat/>
    <w:rsid w:val="003356DD"/>
    <w:rPr>
      <w:b/>
      <w:bCs/>
      <w:smallCaps/>
      <w:color w:val="2F5496" w:themeColor="accent1" w:themeShade="BF"/>
      <w:spacing w:val="5"/>
    </w:rPr>
  </w:style>
  <w:style w:type="paragraph" w:styleId="ae">
    <w:name w:val="header"/>
    <w:basedOn w:val="a"/>
    <w:link w:val="af"/>
    <w:uiPriority w:val="99"/>
    <w:unhideWhenUsed/>
    <w:rsid w:val="009C165C"/>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9C165C"/>
    <w:rPr>
      <w:sz w:val="18"/>
      <w:szCs w:val="18"/>
    </w:rPr>
  </w:style>
  <w:style w:type="paragraph" w:styleId="af0">
    <w:name w:val="footer"/>
    <w:basedOn w:val="a"/>
    <w:link w:val="af1"/>
    <w:uiPriority w:val="99"/>
    <w:unhideWhenUsed/>
    <w:rsid w:val="009C165C"/>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9C165C"/>
    <w:rPr>
      <w:sz w:val="18"/>
      <w:szCs w:val="18"/>
    </w:rPr>
  </w:style>
  <w:style w:type="table" w:styleId="af2">
    <w:name w:val="Table Grid"/>
    <w:basedOn w:val="a1"/>
    <w:uiPriority w:val="59"/>
    <w:qFormat/>
    <w:rsid w:val="009C165C"/>
    <w:pPr>
      <w:spacing w:after="0" w:line="240" w:lineRule="auto"/>
    </w:pPr>
    <w:rPr>
      <w:rFonts w:ascii="Calibri" w:eastAsia="宋体"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rsid w:val="009C165C"/>
    <w:pPr>
      <w:widowControl/>
      <w:spacing w:after="240"/>
    </w:pPr>
    <w:rPr>
      <w:rFonts w:ascii="Times New Roman" w:hAnsi="Times New Roman" w:cs="Simplified Arabic"/>
      <w:kern w:val="0"/>
      <w:sz w:val="24"/>
      <w:szCs w:val="24"/>
      <w:lang w:val="en-GB" w:eastAsia="en-GB" w:bidi="ar-AE"/>
    </w:rPr>
  </w:style>
  <w:style w:type="character" w:customStyle="1" w:styleId="af4">
    <w:name w:val="正文文本 字符"/>
    <w:basedOn w:val="a0"/>
    <w:link w:val="af3"/>
    <w:rsid w:val="009C165C"/>
    <w:rPr>
      <w:rFonts w:ascii="Times New Roman" w:eastAsia="宋体" w:hAnsi="Times New Roman" w:cs="Simplified Arabic"/>
      <w:kern w:val="0"/>
      <w:sz w:val="24"/>
      <w:lang w:val="en-GB" w:eastAsia="en-GB" w:bidi="ar-AE"/>
      <w14:ligatures w14:val="none"/>
    </w:rPr>
  </w:style>
  <w:style w:type="paragraph" w:styleId="af5">
    <w:name w:val="Revision"/>
    <w:hidden/>
    <w:uiPriority w:val="99"/>
    <w:semiHidden/>
    <w:rsid w:val="00CF20C8"/>
    <w:pPr>
      <w:spacing w:after="0" w:line="240" w:lineRule="auto"/>
    </w:pPr>
    <w:rPr>
      <w:rFonts w:ascii="Calibri" w:eastAsia="宋体" w:hAnsi="Calibri" w:cs="Times New Roman"/>
      <w:sz w:val="21"/>
      <w:szCs w:val="22"/>
      <w14:ligatures w14:val="none"/>
    </w:rPr>
  </w:style>
  <w:style w:type="character" w:styleId="af6">
    <w:name w:val="annotation reference"/>
    <w:basedOn w:val="a0"/>
    <w:uiPriority w:val="99"/>
    <w:semiHidden/>
    <w:unhideWhenUsed/>
    <w:rsid w:val="000F4CE9"/>
    <w:rPr>
      <w:sz w:val="21"/>
      <w:szCs w:val="21"/>
    </w:rPr>
  </w:style>
  <w:style w:type="paragraph" w:styleId="af7">
    <w:name w:val="annotation text"/>
    <w:basedOn w:val="a"/>
    <w:link w:val="af8"/>
    <w:uiPriority w:val="99"/>
    <w:unhideWhenUsed/>
    <w:rsid w:val="000F4CE9"/>
    <w:pPr>
      <w:jc w:val="left"/>
    </w:pPr>
  </w:style>
  <w:style w:type="character" w:customStyle="1" w:styleId="af8">
    <w:name w:val="批注文字 字符"/>
    <w:basedOn w:val="a0"/>
    <w:link w:val="af7"/>
    <w:uiPriority w:val="99"/>
    <w:rsid w:val="000F4CE9"/>
    <w:rPr>
      <w:rFonts w:ascii="Calibri" w:eastAsia="宋体" w:hAnsi="Calibri" w:cs="Times New Roman"/>
      <w:sz w:val="21"/>
      <w:szCs w:val="22"/>
      <w14:ligatures w14:val="none"/>
    </w:rPr>
  </w:style>
  <w:style w:type="paragraph" w:styleId="af9">
    <w:name w:val="annotation subject"/>
    <w:basedOn w:val="af7"/>
    <w:next w:val="af7"/>
    <w:link w:val="afa"/>
    <w:uiPriority w:val="99"/>
    <w:semiHidden/>
    <w:unhideWhenUsed/>
    <w:rsid w:val="000F4CE9"/>
    <w:rPr>
      <w:b/>
      <w:bCs/>
    </w:rPr>
  </w:style>
  <w:style w:type="character" w:customStyle="1" w:styleId="afa">
    <w:name w:val="批注主题 字符"/>
    <w:basedOn w:val="af8"/>
    <w:link w:val="af9"/>
    <w:uiPriority w:val="99"/>
    <w:semiHidden/>
    <w:rsid w:val="000F4CE9"/>
    <w:rPr>
      <w:rFonts w:ascii="Calibri" w:eastAsia="宋体" w:hAnsi="Calibri" w:cs="Times New Roman"/>
      <w:b/>
      <w:bCs/>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T&amp;D Associates</dc:creator>
  <cp:keywords/>
  <dc:description/>
  <cp:lastModifiedBy>Fangda</cp:lastModifiedBy>
  <cp:revision>23</cp:revision>
  <dcterms:created xsi:type="dcterms:W3CDTF">2025-11-14T07:56:00Z</dcterms:created>
  <dcterms:modified xsi:type="dcterms:W3CDTF">2026-03-06T03:30:00Z</dcterms:modified>
</cp:coreProperties>
</file>