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873F6">
      <w:pPr>
        <w:spacing w:line="440" w:lineRule="exact"/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经营者集中简易案件公示表</w:t>
      </w:r>
    </w:p>
    <w:p w14:paraId="52A4D123">
      <w:pPr>
        <w:spacing w:line="440" w:lineRule="exact"/>
        <w:rPr>
          <w:rFonts w:ascii="仿宋_GB2312" w:eastAsia="仿宋_GB2312"/>
          <w:sz w:val="28"/>
          <w:szCs w:val="28"/>
        </w:rPr>
      </w:pP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922"/>
        <w:gridCol w:w="5153"/>
      </w:tblGrid>
      <w:tr w14:paraId="333D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shd w:val="clear" w:color="auto" w:fill="D9D9D9"/>
            <w:vAlign w:val="center"/>
          </w:tcPr>
          <w:p w14:paraId="14E52BF2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案件名称</w:t>
            </w:r>
          </w:p>
        </w:tc>
        <w:tc>
          <w:tcPr>
            <w:tcW w:w="7075" w:type="dxa"/>
            <w:gridSpan w:val="2"/>
            <w:vAlign w:val="center"/>
          </w:tcPr>
          <w:p w14:paraId="7CB3DF6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芜湖伯特利汽车安全系统股份有限公司收购豫北转向系统（新乡）股份有限公司股权案</w:t>
            </w:r>
          </w:p>
        </w:tc>
      </w:tr>
      <w:tr w14:paraId="6F3BC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683" w:type="dxa"/>
            <w:shd w:val="clear" w:color="auto" w:fill="D9D9D9"/>
            <w:vAlign w:val="center"/>
          </w:tcPr>
          <w:p w14:paraId="6A51217E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交易概况（限200字内）</w:t>
            </w:r>
          </w:p>
        </w:tc>
        <w:tc>
          <w:tcPr>
            <w:tcW w:w="7075" w:type="dxa"/>
            <w:gridSpan w:val="2"/>
            <w:vAlign w:val="center"/>
          </w:tcPr>
          <w:p w14:paraId="299E4876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芜湖伯特利汽车安全系统股份有限公司</w:t>
            </w:r>
            <w:r>
              <w:rPr>
                <w:rFonts w:hint="eastAsia"/>
                <w:sz w:val="24"/>
                <w:szCs w:val="24"/>
                <w:lang w:eastAsia="zh-CN"/>
              </w:rPr>
              <w:t>（“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伯特利</w:t>
            </w:r>
            <w:r>
              <w:rPr>
                <w:rFonts w:hint="eastAsia"/>
                <w:sz w:val="24"/>
                <w:szCs w:val="24"/>
                <w:lang w:eastAsia="zh-CN"/>
              </w:rPr>
              <w:t>”）</w:t>
            </w:r>
            <w:r>
              <w:rPr>
                <w:rFonts w:hint="eastAsia"/>
                <w:sz w:val="24"/>
                <w:szCs w:val="24"/>
              </w:rPr>
              <w:t>与峻鸿实业有限公司等相关方签署协议，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伯特利</w:t>
            </w:r>
            <w:r>
              <w:rPr>
                <w:rFonts w:hint="eastAsia"/>
                <w:sz w:val="24"/>
                <w:szCs w:val="24"/>
              </w:rPr>
              <w:t>收购豫北转向系统（新乡）股份有限公司</w:t>
            </w:r>
            <w:r>
              <w:rPr>
                <w:rFonts w:hint="eastAsia"/>
                <w:sz w:val="24"/>
                <w:szCs w:val="24"/>
                <w:lang w:eastAsia="zh-CN"/>
              </w:rPr>
              <w:t>（“</w:t>
            </w:r>
            <w:r>
              <w:rPr>
                <w:rFonts w:hint="eastAsia"/>
                <w:sz w:val="24"/>
                <w:szCs w:val="24"/>
              </w:rPr>
              <w:t>豫北转向</w:t>
            </w:r>
            <w:r>
              <w:rPr>
                <w:rFonts w:hint="eastAsia"/>
                <w:sz w:val="24"/>
                <w:szCs w:val="24"/>
                <w:lang w:eastAsia="zh-CN"/>
              </w:rPr>
              <w:t>”）</w:t>
            </w:r>
            <w:r>
              <w:rPr>
                <w:rFonts w:hint="eastAsia"/>
                <w:sz w:val="24"/>
                <w:szCs w:val="24"/>
              </w:rPr>
              <w:t>50.9727%的股份。豫北转向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主要从事汽车转向系统相关产品的研发、生产和销售业务。交易前，</w:t>
            </w:r>
            <w:r>
              <w:rPr>
                <w:rFonts w:hint="eastAsia"/>
                <w:sz w:val="24"/>
                <w:szCs w:val="24"/>
              </w:rPr>
              <w:t>峻鸿实业有限公司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及其一致行动人持有豫北转向44.0655%的股份，单独控制豫北转向。交易后，伯特利将持有豫北转向</w:t>
            </w:r>
            <w:r>
              <w:rPr>
                <w:rFonts w:hint="eastAsia"/>
                <w:sz w:val="24"/>
                <w:szCs w:val="24"/>
              </w:rPr>
              <w:t>50.9727%的股份</w:t>
            </w:r>
            <w:r>
              <w:rPr>
                <w:rFonts w:hint="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单独控制豫北转向。</w:t>
            </w:r>
          </w:p>
        </w:tc>
      </w:tr>
      <w:tr w14:paraId="6537B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8" w:hRule="atLeast"/>
        </w:trPr>
        <w:tc>
          <w:tcPr>
            <w:tcW w:w="1683" w:type="dxa"/>
            <w:vMerge w:val="restart"/>
            <w:shd w:val="clear" w:color="auto" w:fill="D9D9D9"/>
            <w:vAlign w:val="center"/>
          </w:tcPr>
          <w:p w14:paraId="6D2A4B64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参与集中的经营者简介</w:t>
            </w:r>
          </w:p>
        </w:tc>
        <w:tc>
          <w:tcPr>
            <w:tcW w:w="1922" w:type="dxa"/>
            <w:vAlign w:val="center"/>
          </w:tcPr>
          <w:p w14:paraId="214BA5C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1、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伯特利</w:t>
            </w:r>
          </w:p>
        </w:tc>
        <w:tc>
          <w:tcPr>
            <w:tcW w:w="5153" w:type="dxa"/>
            <w:vAlign w:val="center"/>
          </w:tcPr>
          <w:p w14:paraId="25094486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伯特利</w:t>
            </w:r>
            <w:r>
              <w:rPr>
                <w:sz w:val="24"/>
                <w:szCs w:val="24"/>
              </w:rPr>
              <w:t>于200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25</w:t>
            </w:r>
            <w:r>
              <w:rPr>
                <w:rFonts w:hint="eastAsia"/>
                <w:sz w:val="24"/>
                <w:szCs w:val="24"/>
              </w:rPr>
              <w:t>日成立于中国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安徽</w:t>
            </w:r>
            <w:r>
              <w:rPr>
                <w:rFonts w:hint="eastAsia"/>
                <w:sz w:val="24"/>
                <w:szCs w:val="24"/>
              </w:rPr>
              <w:t>省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芜湖</w:t>
            </w:r>
            <w:r>
              <w:rPr>
                <w:rFonts w:hint="eastAsia"/>
                <w:sz w:val="24"/>
                <w:szCs w:val="24"/>
              </w:rPr>
              <w:t>市</w:t>
            </w:r>
            <w:r>
              <w:rPr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系上海证券交易所上市公司（股票代码：603596），</w:t>
            </w:r>
            <w:r>
              <w:rPr>
                <w:sz w:val="24"/>
                <w:szCs w:val="24"/>
              </w:rPr>
              <w:t>主要</w:t>
            </w:r>
            <w:r>
              <w:rPr>
                <w:rFonts w:hint="eastAsia"/>
                <w:sz w:val="24"/>
                <w:szCs w:val="24"/>
              </w:rPr>
              <w:t>从事汽车制动系统、汽车智能驾驶系统及汽车转向系统相关产品的研发、生产和销售业务</w:t>
            </w:r>
            <w:r>
              <w:rPr>
                <w:sz w:val="24"/>
                <w:szCs w:val="24"/>
              </w:rPr>
              <w:t>。</w:t>
            </w:r>
          </w:p>
          <w:p w14:paraId="3089A1C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伯特利</w:t>
            </w:r>
            <w:r>
              <w:rPr>
                <w:sz w:val="24"/>
                <w:szCs w:val="24"/>
              </w:rPr>
              <w:t>的</w:t>
            </w:r>
            <w:r>
              <w:rPr>
                <w:rFonts w:hint="eastAsia"/>
                <w:sz w:val="24"/>
                <w:szCs w:val="24"/>
              </w:rPr>
              <w:t>最终控制人</w:t>
            </w:r>
            <w:r>
              <w:rPr>
                <w:sz w:val="24"/>
                <w:szCs w:val="24"/>
              </w:rPr>
              <w:t>为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自然人</w:t>
            </w:r>
            <w:r>
              <w:rPr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主要</w:t>
            </w:r>
            <w:r>
              <w:rPr>
                <w:sz w:val="24"/>
                <w:szCs w:val="24"/>
              </w:rPr>
              <w:t>从事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对开展</w:t>
            </w:r>
            <w:r>
              <w:rPr>
                <w:rFonts w:hint="eastAsia"/>
                <w:sz w:val="24"/>
                <w:szCs w:val="24"/>
              </w:rPr>
              <w:t>汽车制动系统、汽车智能驾驶系统及汽车转向系统相关产品的研发、生产和销售业务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的公司进行经营管理</w:t>
            </w:r>
            <w:r>
              <w:rPr>
                <w:sz w:val="24"/>
                <w:szCs w:val="24"/>
              </w:rPr>
              <w:t>。</w:t>
            </w:r>
          </w:p>
        </w:tc>
      </w:tr>
      <w:tr w14:paraId="4394E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 w14:paraId="5C498D45">
            <w:pPr>
              <w:spacing w:line="500" w:lineRule="exact"/>
              <w:jc w:val="left"/>
              <w:rPr>
                <w:sz w:val="24"/>
                <w:szCs w:val="24"/>
              </w:rPr>
            </w:pPr>
          </w:p>
        </w:tc>
        <w:tc>
          <w:tcPr>
            <w:tcW w:w="1922" w:type="dxa"/>
            <w:vAlign w:val="center"/>
          </w:tcPr>
          <w:p w14:paraId="228C8BE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豫北转向</w:t>
            </w:r>
          </w:p>
        </w:tc>
        <w:tc>
          <w:tcPr>
            <w:tcW w:w="5153" w:type="dxa"/>
            <w:vAlign w:val="center"/>
          </w:tcPr>
          <w:p w14:paraId="76FDBE9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豫北转向</w:t>
            </w:r>
            <w:r>
              <w:rPr>
                <w:sz w:val="24"/>
                <w:szCs w:val="24"/>
              </w:rPr>
              <w:t>于20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07</w:t>
            </w:r>
            <w:r>
              <w:rPr>
                <w:sz w:val="24"/>
                <w:szCs w:val="24"/>
              </w:rPr>
              <w:t>年3月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/>
                <w:sz w:val="24"/>
                <w:szCs w:val="24"/>
              </w:rPr>
              <w:t>日成立于中国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河南</w:t>
            </w:r>
            <w:r>
              <w:rPr>
                <w:rFonts w:hint="eastAsia"/>
                <w:sz w:val="24"/>
                <w:szCs w:val="24"/>
              </w:rPr>
              <w:t>省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新乡</w:t>
            </w:r>
            <w:r>
              <w:rPr>
                <w:rFonts w:hint="eastAsia"/>
                <w:sz w:val="24"/>
                <w:szCs w:val="24"/>
              </w:rPr>
              <w:t>市</w:t>
            </w:r>
            <w:r>
              <w:rPr>
                <w:sz w:val="24"/>
                <w:szCs w:val="24"/>
              </w:rPr>
              <w:t>，主要</w:t>
            </w:r>
            <w:r>
              <w:rPr>
                <w:rFonts w:hint="eastAsia"/>
                <w:sz w:val="24"/>
                <w:szCs w:val="24"/>
              </w:rPr>
              <w:t>从事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汽车转向系统相关产品的研发、生产和销售业务</w:t>
            </w:r>
            <w:r>
              <w:rPr>
                <w:sz w:val="24"/>
                <w:szCs w:val="24"/>
              </w:rPr>
              <w:t>。</w:t>
            </w:r>
          </w:p>
          <w:p w14:paraId="593BBD3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豫北转向</w:t>
            </w:r>
            <w:r>
              <w:rPr>
                <w:sz w:val="24"/>
                <w:szCs w:val="24"/>
              </w:rPr>
              <w:t>的最终控制人为</w:t>
            </w:r>
            <w:r>
              <w:rPr>
                <w:rFonts w:hint="eastAsia"/>
                <w:sz w:val="24"/>
                <w:lang w:val="en-US" w:eastAsia="zh-CN"/>
              </w:rPr>
              <w:t>自然人</w:t>
            </w:r>
            <w:r>
              <w:rPr>
                <w:sz w:val="24"/>
                <w:szCs w:val="24"/>
              </w:rPr>
              <w:t>，主要</w:t>
            </w:r>
            <w:r>
              <w:rPr>
                <w:rFonts w:hint="eastAsia"/>
                <w:sz w:val="24"/>
                <w:szCs w:val="24"/>
              </w:rPr>
              <w:t>从事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对开展汽车转向系统相关产品研发、生产、销售的公司进行经营管理，开展汽车4S店及贸易业务</w:t>
            </w:r>
            <w:r>
              <w:rPr>
                <w:sz w:val="24"/>
                <w:szCs w:val="24"/>
              </w:rPr>
              <w:t>。</w:t>
            </w:r>
          </w:p>
        </w:tc>
      </w:tr>
      <w:tr w14:paraId="27836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683" w:type="dxa"/>
            <w:vMerge w:val="restart"/>
            <w:shd w:val="clear" w:color="auto" w:fill="D9D9D9"/>
            <w:vAlign w:val="center"/>
          </w:tcPr>
          <w:p w14:paraId="33B9FF29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75" w:type="dxa"/>
            <w:gridSpan w:val="2"/>
            <w:vAlign w:val="center"/>
          </w:tcPr>
          <w:p w14:paraId="317BB128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sym w:font="Wingdings 2" w:char="0052"/>
            </w:r>
            <w:r>
              <w:rPr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14:paraId="71D67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 w14:paraId="349D9A5B">
            <w:pPr>
              <w:spacing w:line="500" w:lineRule="exact"/>
              <w:jc w:val="left"/>
              <w:rPr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 w14:paraId="10BB16B6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□</w:t>
            </w:r>
            <w:r>
              <w:rPr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14:paraId="4EA95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 w14:paraId="609F8225">
            <w:pPr>
              <w:spacing w:line="500" w:lineRule="exact"/>
              <w:jc w:val="left"/>
              <w:rPr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 w14:paraId="75107E43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☑</w:t>
            </w:r>
            <w:r>
              <w:rPr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14:paraId="7C643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 w14:paraId="0449148E">
            <w:pPr>
              <w:spacing w:line="500" w:lineRule="exact"/>
              <w:jc w:val="left"/>
              <w:rPr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 w14:paraId="2CE50BC9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14:paraId="57A7F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 w14:paraId="0100BAED">
            <w:pPr>
              <w:spacing w:line="500" w:lineRule="exact"/>
              <w:jc w:val="left"/>
              <w:rPr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 w14:paraId="0E02BB77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14:paraId="07A17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 w14:paraId="1461A577">
            <w:pPr>
              <w:spacing w:line="500" w:lineRule="exact"/>
              <w:jc w:val="left"/>
              <w:rPr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 w14:paraId="7ED11369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14:paraId="00024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3" w:hRule="atLeast"/>
        </w:trPr>
        <w:tc>
          <w:tcPr>
            <w:tcW w:w="1683" w:type="dxa"/>
            <w:shd w:val="clear" w:color="auto" w:fill="D9D9D9"/>
            <w:vAlign w:val="center"/>
          </w:tcPr>
          <w:p w14:paraId="71277F0A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备注</w:t>
            </w:r>
          </w:p>
        </w:tc>
        <w:tc>
          <w:tcPr>
            <w:tcW w:w="7075" w:type="dxa"/>
            <w:gridSpan w:val="2"/>
            <w:vAlign w:val="center"/>
          </w:tcPr>
          <w:p w14:paraId="3B088208">
            <w:pPr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横向重叠：</w:t>
            </w:r>
          </w:p>
          <w:tbl>
            <w:tblPr>
              <w:tblStyle w:val="10"/>
              <w:tblW w:w="668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04"/>
              <w:gridCol w:w="2090"/>
              <w:gridCol w:w="2590"/>
            </w:tblGrid>
            <w:tr w14:paraId="7197E4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4" w:hRule="atLeast"/>
              </w:trPr>
              <w:tc>
                <w:tcPr>
                  <w:tcW w:w="20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D111444">
                  <w:pPr>
                    <w:pStyle w:val="23"/>
                    <w:ind w:firstLine="0" w:firstLineChars="0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相关商品市场</w:t>
                  </w:r>
                </w:p>
              </w:tc>
              <w:tc>
                <w:tcPr>
                  <w:tcW w:w="20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B501F0">
                  <w:pPr>
                    <w:pStyle w:val="23"/>
                    <w:ind w:firstLine="0" w:firstLineChars="0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相关地域市场</w:t>
                  </w:r>
                </w:p>
              </w:tc>
              <w:tc>
                <w:tcPr>
                  <w:tcW w:w="25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B4EB389">
                  <w:pPr>
                    <w:pStyle w:val="23"/>
                    <w:ind w:firstLine="0" w:firstLineChars="0"/>
                    <w:jc w:val="center"/>
                    <w:rPr>
                      <w:szCs w:val="21"/>
                    </w:rPr>
                  </w:pPr>
                  <w:r>
                    <w:rPr>
                      <w:rFonts w:hint="eastAsia" w:hAnsi="宋体"/>
                      <w:bCs/>
                      <w:szCs w:val="21"/>
                      <w:lang w:val="en-US" w:eastAsia="zh-CN"/>
                    </w:rPr>
                    <w:t>2024</w:t>
                  </w:r>
                  <w:r>
                    <w:rPr>
                      <w:rFonts w:hint="eastAsia"/>
                      <w:szCs w:val="21"/>
                    </w:rPr>
                    <w:t>年市场份额</w:t>
                  </w:r>
                </w:p>
              </w:tc>
            </w:tr>
            <w:tr w14:paraId="6E7A04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91D7AE3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转向管柱</w:t>
                  </w:r>
                  <w:r>
                    <w:rPr>
                      <w:rFonts w:hint="eastAsia"/>
                      <w:szCs w:val="21"/>
                    </w:rPr>
                    <w:t>市场</w:t>
                  </w:r>
                </w:p>
              </w:tc>
              <w:tc>
                <w:tcPr>
                  <w:tcW w:w="20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484C3A2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5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0258D27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伯特利</w:t>
                  </w:r>
                  <w:r>
                    <w:rPr>
                      <w:rFonts w:hint="eastAsia"/>
                      <w:szCs w:val="21"/>
                    </w:rPr>
                    <w:t>：0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-</w:t>
                  </w:r>
                  <w:r>
                    <w:rPr>
                      <w:rFonts w:hint="eastAsia"/>
                      <w:szCs w:val="21"/>
                    </w:rPr>
                    <w:t>5%</w:t>
                  </w:r>
                </w:p>
                <w:p w14:paraId="7F032DD0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豫北转向</w:t>
                  </w:r>
                  <w:r>
                    <w:rPr>
                      <w:rFonts w:hint="eastAsia"/>
                      <w:szCs w:val="21"/>
                    </w:rPr>
                    <w:t>：0</w:t>
                  </w:r>
                  <w:r>
                    <w:rPr>
                      <w:rFonts w:hint="eastAsia" w:hAnsi="宋体" w:cs="宋体"/>
                      <w:szCs w:val="21"/>
                      <w:lang w:val="en-US" w:eastAsia="zh-CN"/>
                    </w:rPr>
                    <w:t>-</w:t>
                  </w:r>
                  <w:r>
                    <w:rPr>
                      <w:rFonts w:hint="eastAsia"/>
                      <w:szCs w:val="21"/>
                    </w:rPr>
                    <w:t>5%</w:t>
                  </w:r>
                </w:p>
                <w:p w14:paraId="0A00552B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双方合计：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0-5</w:t>
                  </w:r>
                  <w:r>
                    <w:rPr>
                      <w:rFonts w:hint="eastAsia"/>
                      <w:szCs w:val="21"/>
                    </w:rPr>
                    <w:t>%</w:t>
                  </w:r>
                </w:p>
              </w:tc>
            </w:tr>
            <w:tr w14:paraId="03F865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B1EA414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中间轴</w:t>
                  </w:r>
                  <w:r>
                    <w:rPr>
                      <w:rFonts w:hint="eastAsia"/>
                      <w:szCs w:val="21"/>
                    </w:rPr>
                    <w:t>市场</w:t>
                  </w:r>
                </w:p>
              </w:tc>
              <w:tc>
                <w:tcPr>
                  <w:tcW w:w="20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C65146F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5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1056634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伯特利</w:t>
                  </w:r>
                  <w:r>
                    <w:rPr>
                      <w:rFonts w:hint="eastAsia"/>
                      <w:szCs w:val="21"/>
                    </w:rPr>
                    <w:t>：0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-</w:t>
                  </w:r>
                  <w:r>
                    <w:rPr>
                      <w:rFonts w:hint="eastAsia"/>
                      <w:szCs w:val="21"/>
                    </w:rPr>
                    <w:t>5%</w:t>
                  </w:r>
                </w:p>
                <w:p w14:paraId="63CF2392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豫北转向</w:t>
                  </w:r>
                  <w:r>
                    <w:rPr>
                      <w:rFonts w:hint="eastAsia"/>
                      <w:szCs w:val="21"/>
                    </w:rPr>
                    <w:t>：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/>
                      <w:szCs w:val="21"/>
                    </w:rPr>
                    <w:t>0</w:t>
                  </w:r>
                  <w:r>
                    <w:rPr>
                      <w:rFonts w:hint="eastAsia" w:hAnsi="宋体" w:cs="宋体"/>
                      <w:szCs w:val="21"/>
                      <w:lang w:val="en-US" w:eastAsia="zh-CN"/>
                    </w:rPr>
                    <w:t>-1</w:t>
                  </w:r>
                  <w:r>
                    <w:rPr>
                      <w:rFonts w:hint="eastAsia"/>
                      <w:szCs w:val="21"/>
                    </w:rPr>
                    <w:t>5%</w:t>
                  </w:r>
                </w:p>
                <w:p w14:paraId="20B06158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双方合计：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10-15</w:t>
                  </w:r>
                  <w:r>
                    <w:rPr>
                      <w:rFonts w:hint="eastAsia"/>
                      <w:szCs w:val="21"/>
                    </w:rPr>
                    <w:t>%</w:t>
                  </w:r>
                </w:p>
              </w:tc>
            </w:tr>
            <w:tr w14:paraId="52C3A2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36BD88F">
                  <w:pPr>
                    <w:pStyle w:val="23"/>
                    <w:ind w:firstLine="0" w:firstLineChars="0"/>
                    <w:rPr>
                      <w:rFonts w:hint="eastAsia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电动助力转向系统（EPS）</w:t>
                  </w:r>
                </w:p>
              </w:tc>
              <w:tc>
                <w:tcPr>
                  <w:tcW w:w="20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2C4C291">
                  <w:pPr>
                    <w:pStyle w:val="23"/>
                    <w:ind w:firstLine="0" w:firstLineChars="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5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ECC2C79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伯特利</w:t>
                  </w:r>
                  <w:r>
                    <w:rPr>
                      <w:rFonts w:hint="eastAsia"/>
                      <w:szCs w:val="21"/>
                    </w:rPr>
                    <w:t>：0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-</w:t>
                  </w:r>
                  <w:r>
                    <w:rPr>
                      <w:rFonts w:hint="eastAsia"/>
                      <w:szCs w:val="21"/>
                    </w:rPr>
                    <w:t>5%</w:t>
                  </w:r>
                </w:p>
                <w:p w14:paraId="1C7D5709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豫北转向</w:t>
                  </w:r>
                  <w:r>
                    <w:rPr>
                      <w:rFonts w:hint="eastAsia"/>
                      <w:szCs w:val="21"/>
                    </w:rPr>
                    <w:t>：0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-</w:t>
                  </w:r>
                  <w:r>
                    <w:rPr>
                      <w:rFonts w:hint="eastAsia"/>
                      <w:szCs w:val="21"/>
                    </w:rPr>
                    <w:t>5%</w:t>
                  </w:r>
                </w:p>
                <w:p w14:paraId="6946BE0A">
                  <w:pPr>
                    <w:pStyle w:val="23"/>
                    <w:ind w:firstLine="0" w:firstLineChars="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双方合计：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5-10</w:t>
                  </w:r>
                  <w:r>
                    <w:rPr>
                      <w:rFonts w:hint="eastAsia"/>
                      <w:szCs w:val="21"/>
                    </w:rPr>
                    <w:t>%</w:t>
                  </w:r>
                </w:p>
              </w:tc>
            </w:tr>
            <w:tr w14:paraId="31E5CD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C245456">
                  <w:pPr>
                    <w:pStyle w:val="23"/>
                    <w:ind w:firstLine="0" w:firstLineChars="0"/>
                    <w:rPr>
                      <w:rFonts w:hint="eastAsia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循环球式转向器（RCB）</w:t>
                  </w:r>
                </w:p>
              </w:tc>
              <w:tc>
                <w:tcPr>
                  <w:tcW w:w="20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FCF9AF">
                  <w:pPr>
                    <w:pStyle w:val="23"/>
                    <w:ind w:firstLine="0" w:firstLineChars="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中国境</w:t>
                  </w:r>
                  <w:bookmarkStart w:id="0" w:name="_GoBack"/>
                  <w:bookmarkEnd w:id="0"/>
                  <w:r>
                    <w:rPr>
                      <w:rFonts w:hint="eastAsia"/>
                      <w:szCs w:val="21"/>
                    </w:rPr>
                    <w:t>内</w:t>
                  </w:r>
                </w:p>
              </w:tc>
              <w:tc>
                <w:tcPr>
                  <w:tcW w:w="25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19237BA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伯特利</w:t>
                  </w:r>
                  <w:r>
                    <w:rPr>
                      <w:rFonts w:hint="eastAsia"/>
                      <w:szCs w:val="21"/>
                    </w:rPr>
                    <w:t>：0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-</w:t>
                  </w:r>
                  <w:r>
                    <w:rPr>
                      <w:rFonts w:hint="eastAsia"/>
                      <w:szCs w:val="21"/>
                    </w:rPr>
                    <w:t>5%</w:t>
                  </w:r>
                </w:p>
                <w:p w14:paraId="4F12EB28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豫北转向</w:t>
                  </w:r>
                  <w:r>
                    <w:rPr>
                      <w:rFonts w:hint="eastAsia"/>
                      <w:szCs w:val="21"/>
                    </w:rPr>
                    <w:t>：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/>
                      <w:szCs w:val="21"/>
                    </w:rPr>
                    <w:t>0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-1</w:t>
                  </w:r>
                  <w:r>
                    <w:rPr>
                      <w:rFonts w:hint="eastAsia"/>
                      <w:szCs w:val="21"/>
                    </w:rPr>
                    <w:t>5%</w:t>
                  </w:r>
                </w:p>
                <w:p w14:paraId="3C1A3EB5">
                  <w:pPr>
                    <w:pStyle w:val="23"/>
                    <w:ind w:firstLine="0" w:firstLineChars="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双方合计：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10-15</w:t>
                  </w:r>
                  <w:r>
                    <w:rPr>
                      <w:rFonts w:hint="eastAsia"/>
                      <w:szCs w:val="21"/>
                    </w:rPr>
                    <w:t>%</w:t>
                  </w:r>
                </w:p>
              </w:tc>
            </w:tr>
            <w:tr w14:paraId="30940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5E3307D">
                  <w:pPr>
                    <w:pStyle w:val="23"/>
                    <w:ind w:firstLine="0" w:firstLineChars="0"/>
                    <w:rPr>
                      <w:rFonts w:hint="eastAsia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机械转向器（MSG）</w:t>
                  </w:r>
                </w:p>
              </w:tc>
              <w:tc>
                <w:tcPr>
                  <w:tcW w:w="20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65C487C">
                  <w:pPr>
                    <w:pStyle w:val="23"/>
                    <w:ind w:firstLine="0" w:firstLineChars="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5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2976616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伯特利</w:t>
                  </w:r>
                  <w:r>
                    <w:rPr>
                      <w:rFonts w:hint="eastAsia"/>
                      <w:szCs w:val="21"/>
                    </w:rPr>
                    <w:t>：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5-10</w:t>
                  </w:r>
                  <w:r>
                    <w:rPr>
                      <w:rFonts w:hint="eastAsia"/>
                      <w:szCs w:val="21"/>
                    </w:rPr>
                    <w:t>%</w:t>
                  </w:r>
                </w:p>
                <w:p w14:paraId="2814DF9D">
                  <w:pPr>
                    <w:pStyle w:val="23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豫北转向</w:t>
                  </w:r>
                  <w:r>
                    <w:rPr>
                      <w:rFonts w:hint="eastAsia"/>
                      <w:szCs w:val="21"/>
                    </w:rPr>
                    <w:t>：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5-10</w:t>
                  </w:r>
                  <w:r>
                    <w:rPr>
                      <w:rFonts w:hint="eastAsia"/>
                      <w:szCs w:val="21"/>
                    </w:rPr>
                    <w:t>%</w:t>
                  </w:r>
                </w:p>
                <w:p w14:paraId="46B1100C">
                  <w:pPr>
                    <w:pStyle w:val="23"/>
                    <w:ind w:firstLine="0" w:firstLineChars="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双方合计：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10-15</w:t>
                  </w:r>
                  <w:r>
                    <w:rPr>
                      <w:rFonts w:hint="eastAsia"/>
                      <w:szCs w:val="21"/>
                    </w:rPr>
                    <w:t>%</w:t>
                  </w:r>
                </w:p>
              </w:tc>
            </w:tr>
          </w:tbl>
          <w:p w14:paraId="4BCA919E">
            <w:pPr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混合集中：</w:t>
            </w:r>
          </w:p>
          <w:p w14:paraId="61C890C6">
            <w:pPr>
              <w:jc w:val="left"/>
              <w:rPr>
                <w:rFonts w:hint="eastAsia" w:cs="Times New Roman"/>
                <w:bCs w:val="0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 w:val="0"/>
                <w:kern w:val="44"/>
                <w:sz w:val="24"/>
                <w:szCs w:val="24"/>
                <w:lang w:val="en-US" w:eastAsia="zh-CN"/>
              </w:rPr>
              <w:t>2024年中国境内</w:t>
            </w:r>
            <w:r>
              <w:rPr>
                <w:rFonts w:hint="default" w:cs="Times New Roman"/>
                <w:bCs w:val="0"/>
                <w:kern w:val="44"/>
                <w:sz w:val="24"/>
                <w:szCs w:val="24"/>
                <w:lang w:val="en-US" w:eastAsia="zh-CN"/>
              </w:rPr>
              <w:t>液压齿轮齿条式转向器（HRP）</w:t>
            </w:r>
            <w:r>
              <w:rPr>
                <w:rFonts w:hint="eastAsia" w:cs="Times New Roman"/>
                <w:bCs w:val="0"/>
                <w:kern w:val="44"/>
                <w:sz w:val="24"/>
                <w:szCs w:val="24"/>
                <w:lang w:val="en-US" w:eastAsia="zh-CN"/>
              </w:rPr>
              <w:t>市场：</w:t>
            </w:r>
          </w:p>
          <w:p w14:paraId="750AECDD">
            <w:pPr>
              <w:jc w:val="left"/>
              <w:rPr>
                <w:kern w:val="44"/>
                <w:sz w:val="24"/>
                <w:szCs w:val="24"/>
              </w:rPr>
            </w:pPr>
            <w:r>
              <w:rPr>
                <w:rFonts w:hint="eastAsia" w:cs="Times New Roman"/>
                <w:bCs w:val="0"/>
                <w:kern w:val="44"/>
                <w:sz w:val="24"/>
                <w:szCs w:val="24"/>
                <w:lang w:val="en-US" w:eastAsia="zh-CN"/>
              </w:rPr>
              <w:t>豫北转向：20-25%</w:t>
            </w:r>
          </w:p>
        </w:tc>
      </w:tr>
    </w:tbl>
    <w:p w14:paraId="7415DFDC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jNhMWE2ZjQ1NGMwZDk0OTMyNzczNmNkMTZlZDQifQ=="/>
    <w:docVar w:name="KSO_WPS_MARK_KEY" w:val="9038a897-ca3b-4b72-b59a-40db07644776"/>
  </w:docVars>
  <w:rsids>
    <w:rsidRoot w:val="00094095"/>
    <w:rsid w:val="00000A45"/>
    <w:rsid w:val="000144AF"/>
    <w:rsid w:val="00035AFE"/>
    <w:rsid w:val="00045197"/>
    <w:rsid w:val="00046090"/>
    <w:rsid w:val="00055FE5"/>
    <w:rsid w:val="000920A7"/>
    <w:rsid w:val="00094095"/>
    <w:rsid w:val="00097D9D"/>
    <w:rsid w:val="000A2E32"/>
    <w:rsid w:val="000B5625"/>
    <w:rsid w:val="000C569B"/>
    <w:rsid w:val="000D26DF"/>
    <w:rsid w:val="000D4D6D"/>
    <w:rsid w:val="000E7ABB"/>
    <w:rsid w:val="00105003"/>
    <w:rsid w:val="00123F96"/>
    <w:rsid w:val="00130233"/>
    <w:rsid w:val="00164256"/>
    <w:rsid w:val="001778CC"/>
    <w:rsid w:val="00183679"/>
    <w:rsid w:val="001A1470"/>
    <w:rsid w:val="001A622F"/>
    <w:rsid w:val="001C7239"/>
    <w:rsid w:val="001D6CDE"/>
    <w:rsid w:val="001E3E93"/>
    <w:rsid w:val="0021113B"/>
    <w:rsid w:val="00245776"/>
    <w:rsid w:val="002508F3"/>
    <w:rsid w:val="00262690"/>
    <w:rsid w:val="00264574"/>
    <w:rsid w:val="00275312"/>
    <w:rsid w:val="002C19F0"/>
    <w:rsid w:val="002C64C3"/>
    <w:rsid w:val="002E3385"/>
    <w:rsid w:val="002F2D60"/>
    <w:rsid w:val="002F335B"/>
    <w:rsid w:val="00307976"/>
    <w:rsid w:val="0032349F"/>
    <w:rsid w:val="00333660"/>
    <w:rsid w:val="00357902"/>
    <w:rsid w:val="00386CF1"/>
    <w:rsid w:val="00390015"/>
    <w:rsid w:val="00391546"/>
    <w:rsid w:val="00396AE7"/>
    <w:rsid w:val="003D7455"/>
    <w:rsid w:val="003E79EC"/>
    <w:rsid w:val="004456EC"/>
    <w:rsid w:val="004506FA"/>
    <w:rsid w:val="0046029B"/>
    <w:rsid w:val="00462174"/>
    <w:rsid w:val="00473E49"/>
    <w:rsid w:val="00474749"/>
    <w:rsid w:val="004B1481"/>
    <w:rsid w:val="004D48EC"/>
    <w:rsid w:val="004E4274"/>
    <w:rsid w:val="004E5555"/>
    <w:rsid w:val="004E7257"/>
    <w:rsid w:val="005100C7"/>
    <w:rsid w:val="0051185A"/>
    <w:rsid w:val="0052034C"/>
    <w:rsid w:val="00522F9B"/>
    <w:rsid w:val="00585D93"/>
    <w:rsid w:val="005A0339"/>
    <w:rsid w:val="005A051D"/>
    <w:rsid w:val="005C590C"/>
    <w:rsid w:val="005F167B"/>
    <w:rsid w:val="006327F1"/>
    <w:rsid w:val="006652F3"/>
    <w:rsid w:val="00667E69"/>
    <w:rsid w:val="00677E3A"/>
    <w:rsid w:val="00677ED4"/>
    <w:rsid w:val="00681589"/>
    <w:rsid w:val="00683F50"/>
    <w:rsid w:val="006914EC"/>
    <w:rsid w:val="006A39F1"/>
    <w:rsid w:val="006B2E6C"/>
    <w:rsid w:val="006F5E73"/>
    <w:rsid w:val="00712E8F"/>
    <w:rsid w:val="0072452D"/>
    <w:rsid w:val="00731DD4"/>
    <w:rsid w:val="0074209E"/>
    <w:rsid w:val="007435D0"/>
    <w:rsid w:val="007631EF"/>
    <w:rsid w:val="00780A9E"/>
    <w:rsid w:val="007A1F10"/>
    <w:rsid w:val="007C2F08"/>
    <w:rsid w:val="007C3068"/>
    <w:rsid w:val="007D7501"/>
    <w:rsid w:val="007E2595"/>
    <w:rsid w:val="007E72E5"/>
    <w:rsid w:val="007E73E2"/>
    <w:rsid w:val="007E7D0C"/>
    <w:rsid w:val="007F13CC"/>
    <w:rsid w:val="007F16FD"/>
    <w:rsid w:val="007F562E"/>
    <w:rsid w:val="007F6247"/>
    <w:rsid w:val="00826E6B"/>
    <w:rsid w:val="00835E18"/>
    <w:rsid w:val="00837DC5"/>
    <w:rsid w:val="00840066"/>
    <w:rsid w:val="008404DF"/>
    <w:rsid w:val="008900EB"/>
    <w:rsid w:val="00897D92"/>
    <w:rsid w:val="008A6E7A"/>
    <w:rsid w:val="008B050D"/>
    <w:rsid w:val="008B6C2F"/>
    <w:rsid w:val="008C5391"/>
    <w:rsid w:val="008D18F0"/>
    <w:rsid w:val="008E469D"/>
    <w:rsid w:val="008F7C10"/>
    <w:rsid w:val="0090114C"/>
    <w:rsid w:val="00904CB7"/>
    <w:rsid w:val="0092503C"/>
    <w:rsid w:val="0094175D"/>
    <w:rsid w:val="00984130"/>
    <w:rsid w:val="00993BF4"/>
    <w:rsid w:val="00996818"/>
    <w:rsid w:val="009B2626"/>
    <w:rsid w:val="009D06A8"/>
    <w:rsid w:val="009D3D2B"/>
    <w:rsid w:val="009E5DA3"/>
    <w:rsid w:val="009F17D6"/>
    <w:rsid w:val="009F7886"/>
    <w:rsid w:val="00A04FED"/>
    <w:rsid w:val="00A230D6"/>
    <w:rsid w:val="00A25966"/>
    <w:rsid w:val="00A40F8F"/>
    <w:rsid w:val="00A520BD"/>
    <w:rsid w:val="00A90A90"/>
    <w:rsid w:val="00A914D9"/>
    <w:rsid w:val="00AB0806"/>
    <w:rsid w:val="00AB42FC"/>
    <w:rsid w:val="00AF458F"/>
    <w:rsid w:val="00B163FA"/>
    <w:rsid w:val="00B20089"/>
    <w:rsid w:val="00B2283E"/>
    <w:rsid w:val="00B23CC2"/>
    <w:rsid w:val="00B371EE"/>
    <w:rsid w:val="00B43294"/>
    <w:rsid w:val="00B521E3"/>
    <w:rsid w:val="00B54BDA"/>
    <w:rsid w:val="00B616E1"/>
    <w:rsid w:val="00B90473"/>
    <w:rsid w:val="00B93199"/>
    <w:rsid w:val="00BA0750"/>
    <w:rsid w:val="00BB2377"/>
    <w:rsid w:val="00BE3DCD"/>
    <w:rsid w:val="00C04F5A"/>
    <w:rsid w:val="00C27460"/>
    <w:rsid w:val="00C45C3B"/>
    <w:rsid w:val="00C54EF0"/>
    <w:rsid w:val="00C574ED"/>
    <w:rsid w:val="00C77B54"/>
    <w:rsid w:val="00C84E29"/>
    <w:rsid w:val="00C9068E"/>
    <w:rsid w:val="00C93C0C"/>
    <w:rsid w:val="00C96ECA"/>
    <w:rsid w:val="00CB028D"/>
    <w:rsid w:val="00CB3BDA"/>
    <w:rsid w:val="00CB57E1"/>
    <w:rsid w:val="00CB5AF7"/>
    <w:rsid w:val="00CC6142"/>
    <w:rsid w:val="00CC6AB4"/>
    <w:rsid w:val="00CC7F54"/>
    <w:rsid w:val="00CD13A7"/>
    <w:rsid w:val="00CD4CF5"/>
    <w:rsid w:val="00CE2824"/>
    <w:rsid w:val="00CF4448"/>
    <w:rsid w:val="00D00891"/>
    <w:rsid w:val="00D05416"/>
    <w:rsid w:val="00D102B0"/>
    <w:rsid w:val="00D1202E"/>
    <w:rsid w:val="00D13FDA"/>
    <w:rsid w:val="00D21777"/>
    <w:rsid w:val="00D3751C"/>
    <w:rsid w:val="00D45456"/>
    <w:rsid w:val="00D72EA9"/>
    <w:rsid w:val="00D763AF"/>
    <w:rsid w:val="00DA58DC"/>
    <w:rsid w:val="00DB266E"/>
    <w:rsid w:val="00DC279E"/>
    <w:rsid w:val="00DC6F93"/>
    <w:rsid w:val="00DD0208"/>
    <w:rsid w:val="00DD502B"/>
    <w:rsid w:val="00DD6E73"/>
    <w:rsid w:val="00DF0023"/>
    <w:rsid w:val="00DF78B0"/>
    <w:rsid w:val="00E03501"/>
    <w:rsid w:val="00E265D2"/>
    <w:rsid w:val="00E30E76"/>
    <w:rsid w:val="00E36319"/>
    <w:rsid w:val="00E53D38"/>
    <w:rsid w:val="00E54949"/>
    <w:rsid w:val="00E569CB"/>
    <w:rsid w:val="00E66A48"/>
    <w:rsid w:val="00E7483D"/>
    <w:rsid w:val="00E80ACD"/>
    <w:rsid w:val="00E874E1"/>
    <w:rsid w:val="00E9512B"/>
    <w:rsid w:val="00EB587E"/>
    <w:rsid w:val="00EC0323"/>
    <w:rsid w:val="00ED21B1"/>
    <w:rsid w:val="00EE29F1"/>
    <w:rsid w:val="00F02194"/>
    <w:rsid w:val="00F1795C"/>
    <w:rsid w:val="00F2189E"/>
    <w:rsid w:val="00F35070"/>
    <w:rsid w:val="00F66DCF"/>
    <w:rsid w:val="00F87C1F"/>
    <w:rsid w:val="00F96FDE"/>
    <w:rsid w:val="00FC01FE"/>
    <w:rsid w:val="00FC1ECC"/>
    <w:rsid w:val="00FC43CC"/>
    <w:rsid w:val="00FC45D5"/>
    <w:rsid w:val="00FD0407"/>
    <w:rsid w:val="00FD54A7"/>
    <w:rsid w:val="00FE6606"/>
    <w:rsid w:val="00FF42CF"/>
    <w:rsid w:val="017E14FF"/>
    <w:rsid w:val="01E3356E"/>
    <w:rsid w:val="043E1B50"/>
    <w:rsid w:val="05A86320"/>
    <w:rsid w:val="05F41565"/>
    <w:rsid w:val="06A35E92"/>
    <w:rsid w:val="06F3516F"/>
    <w:rsid w:val="087C3466"/>
    <w:rsid w:val="09702289"/>
    <w:rsid w:val="098749C1"/>
    <w:rsid w:val="098B441E"/>
    <w:rsid w:val="099621FA"/>
    <w:rsid w:val="0AF50259"/>
    <w:rsid w:val="0B392FD5"/>
    <w:rsid w:val="0C4C10D2"/>
    <w:rsid w:val="10721B63"/>
    <w:rsid w:val="12022A2E"/>
    <w:rsid w:val="12326EB4"/>
    <w:rsid w:val="133D7B22"/>
    <w:rsid w:val="13925C08"/>
    <w:rsid w:val="14603C13"/>
    <w:rsid w:val="146A2B1E"/>
    <w:rsid w:val="149256C5"/>
    <w:rsid w:val="158442F8"/>
    <w:rsid w:val="16DC2A40"/>
    <w:rsid w:val="18C13529"/>
    <w:rsid w:val="19151255"/>
    <w:rsid w:val="1AE9613F"/>
    <w:rsid w:val="1C0D5C47"/>
    <w:rsid w:val="1D000A11"/>
    <w:rsid w:val="1D040554"/>
    <w:rsid w:val="1E845A40"/>
    <w:rsid w:val="1FD63258"/>
    <w:rsid w:val="20125FC6"/>
    <w:rsid w:val="20573C6C"/>
    <w:rsid w:val="205E04F6"/>
    <w:rsid w:val="211F764D"/>
    <w:rsid w:val="214E201A"/>
    <w:rsid w:val="221440A4"/>
    <w:rsid w:val="225320DE"/>
    <w:rsid w:val="249D12EE"/>
    <w:rsid w:val="24C03D11"/>
    <w:rsid w:val="25056073"/>
    <w:rsid w:val="26663961"/>
    <w:rsid w:val="266C5A4C"/>
    <w:rsid w:val="26BB3134"/>
    <w:rsid w:val="277B51EB"/>
    <w:rsid w:val="27AE6D6E"/>
    <w:rsid w:val="29167809"/>
    <w:rsid w:val="2934389D"/>
    <w:rsid w:val="29514455"/>
    <w:rsid w:val="2A716687"/>
    <w:rsid w:val="2BCF5BB2"/>
    <w:rsid w:val="2E1B3283"/>
    <w:rsid w:val="2F5B6E36"/>
    <w:rsid w:val="30986E0D"/>
    <w:rsid w:val="3108588C"/>
    <w:rsid w:val="311B05E1"/>
    <w:rsid w:val="31291F7E"/>
    <w:rsid w:val="318178A1"/>
    <w:rsid w:val="322725C9"/>
    <w:rsid w:val="342618D3"/>
    <w:rsid w:val="345A372F"/>
    <w:rsid w:val="351A59B6"/>
    <w:rsid w:val="35276E71"/>
    <w:rsid w:val="35C41CF6"/>
    <w:rsid w:val="35C81F43"/>
    <w:rsid w:val="36511F38"/>
    <w:rsid w:val="36886B6E"/>
    <w:rsid w:val="368C0D90"/>
    <w:rsid w:val="37302484"/>
    <w:rsid w:val="37B0593D"/>
    <w:rsid w:val="39C24AED"/>
    <w:rsid w:val="3A106036"/>
    <w:rsid w:val="3A2D21CD"/>
    <w:rsid w:val="3A464B75"/>
    <w:rsid w:val="3C2A5691"/>
    <w:rsid w:val="3D111306"/>
    <w:rsid w:val="3DC84CA5"/>
    <w:rsid w:val="414C1C7A"/>
    <w:rsid w:val="426D41E7"/>
    <w:rsid w:val="43011B6E"/>
    <w:rsid w:val="4320516C"/>
    <w:rsid w:val="43BC3E97"/>
    <w:rsid w:val="441C57F3"/>
    <w:rsid w:val="442A4E8B"/>
    <w:rsid w:val="44C47D79"/>
    <w:rsid w:val="44CF271A"/>
    <w:rsid w:val="44E04A90"/>
    <w:rsid w:val="45CF2E79"/>
    <w:rsid w:val="46437F42"/>
    <w:rsid w:val="47DF2E42"/>
    <w:rsid w:val="47EB09E2"/>
    <w:rsid w:val="483616EE"/>
    <w:rsid w:val="49753D38"/>
    <w:rsid w:val="4B8A461E"/>
    <w:rsid w:val="4C6E601B"/>
    <w:rsid w:val="4CA12DFC"/>
    <w:rsid w:val="4DDF747C"/>
    <w:rsid w:val="4F5B35BD"/>
    <w:rsid w:val="4F852651"/>
    <w:rsid w:val="4FAA2F2F"/>
    <w:rsid w:val="4FFA3175"/>
    <w:rsid w:val="4FFB5792"/>
    <w:rsid w:val="503475F1"/>
    <w:rsid w:val="51DF3B26"/>
    <w:rsid w:val="537806AC"/>
    <w:rsid w:val="54117B0C"/>
    <w:rsid w:val="54A507BE"/>
    <w:rsid w:val="55637382"/>
    <w:rsid w:val="576227F5"/>
    <w:rsid w:val="57CE65CE"/>
    <w:rsid w:val="591363C6"/>
    <w:rsid w:val="59247F7B"/>
    <w:rsid w:val="597B2C23"/>
    <w:rsid w:val="5A315494"/>
    <w:rsid w:val="5B2D6C07"/>
    <w:rsid w:val="5CAC53A8"/>
    <w:rsid w:val="5CAE5930"/>
    <w:rsid w:val="5D573625"/>
    <w:rsid w:val="5EA616E7"/>
    <w:rsid w:val="60014924"/>
    <w:rsid w:val="60737891"/>
    <w:rsid w:val="607C78DF"/>
    <w:rsid w:val="60C16521"/>
    <w:rsid w:val="60C67F74"/>
    <w:rsid w:val="610C692D"/>
    <w:rsid w:val="643C6CB2"/>
    <w:rsid w:val="66A07CA0"/>
    <w:rsid w:val="67694A84"/>
    <w:rsid w:val="67BA5260"/>
    <w:rsid w:val="688A6646"/>
    <w:rsid w:val="68F16ADF"/>
    <w:rsid w:val="68FD5C0F"/>
    <w:rsid w:val="69406B66"/>
    <w:rsid w:val="698A0CE2"/>
    <w:rsid w:val="6A9E229D"/>
    <w:rsid w:val="6B4532F0"/>
    <w:rsid w:val="6C77480D"/>
    <w:rsid w:val="6C9C4FB4"/>
    <w:rsid w:val="6CB07BAC"/>
    <w:rsid w:val="6CFC2F58"/>
    <w:rsid w:val="6D5637AC"/>
    <w:rsid w:val="6DBC1950"/>
    <w:rsid w:val="6DED5D0F"/>
    <w:rsid w:val="6E9D5A4F"/>
    <w:rsid w:val="6FB2220B"/>
    <w:rsid w:val="6FC83E42"/>
    <w:rsid w:val="7197497B"/>
    <w:rsid w:val="748C0004"/>
    <w:rsid w:val="750A2CD7"/>
    <w:rsid w:val="7572579A"/>
    <w:rsid w:val="75937578"/>
    <w:rsid w:val="762409E0"/>
    <w:rsid w:val="76C61E2D"/>
    <w:rsid w:val="775A2C17"/>
    <w:rsid w:val="77BC4D9B"/>
    <w:rsid w:val="78040B07"/>
    <w:rsid w:val="78A2235B"/>
    <w:rsid w:val="794235F2"/>
    <w:rsid w:val="7A2C0B6E"/>
    <w:rsid w:val="7B1B5C3E"/>
    <w:rsid w:val="7B7F0E78"/>
    <w:rsid w:val="7C914977"/>
    <w:rsid w:val="7D6C2E8F"/>
    <w:rsid w:val="7E6E0CC2"/>
    <w:rsid w:val="7EEB40A2"/>
    <w:rsid w:val="7FD22684"/>
    <w:rsid w:val="DFF5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1"/>
    <w:unhideWhenUsed/>
    <w:qFormat/>
    <w:uiPriority w:val="0"/>
    <w:pPr>
      <w:jc w:val="left"/>
    </w:pPr>
  </w:style>
  <w:style w:type="paragraph" w:styleId="3">
    <w:name w:val="endnote text"/>
    <w:basedOn w:val="1"/>
    <w:link w:val="16"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paragraph" w:styleId="8">
    <w:name w:val="annotation subject"/>
    <w:basedOn w:val="2"/>
    <w:next w:val="2"/>
    <w:link w:val="22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endnote reference"/>
    <w:unhideWhenUsed/>
    <w:qFormat/>
    <w:uiPriority w:val="99"/>
    <w:rPr>
      <w:vertAlign w:val="superscript"/>
    </w:rPr>
  </w:style>
  <w:style w:type="character" w:styleId="14">
    <w:name w:val="Hyperlink"/>
    <w:basedOn w:val="11"/>
    <w:unhideWhenUsed/>
    <w:qFormat/>
    <w:uiPriority w:val="99"/>
    <w:rPr>
      <w:color w:val="0000FF"/>
      <w:u w:val="single"/>
    </w:rPr>
  </w:style>
  <w:style w:type="character" w:styleId="15">
    <w:name w:val="annotation reference"/>
    <w:basedOn w:val="11"/>
    <w:unhideWhenUsed/>
    <w:qFormat/>
    <w:uiPriority w:val="0"/>
    <w:rPr>
      <w:sz w:val="21"/>
      <w:szCs w:val="21"/>
    </w:rPr>
  </w:style>
  <w:style w:type="character" w:customStyle="1" w:styleId="16">
    <w:name w:val="尾注文本 字符"/>
    <w:link w:val="3"/>
    <w:semiHidden/>
    <w:qFormat/>
    <w:uiPriority w:val="99"/>
  </w:style>
  <w:style w:type="character" w:customStyle="1" w:styleId="17">
    <w:name w:val="批注框文本 字符"/>
    <w:link w:val="4"/>
    <w:semiHidden/>
    <w:qFormat/>
    <w:uiPriority w:val="99"/>
    <w:rPr>
      <w:kern w:val="2"/>
      <w:sz w:val="18"/>
      <w:szCs w:val="18"/>
    </w:rPr>
  </w:style>
  <w:style w:type="character" w:customStyle="1" w:styleId="18">
    <w:name w:val="页脚 字符"/>
    <w:link w:val="5"/>
    <w:qFormat/>
    <w:uiPriority w:val="99"/>
    <w:rPr>
      <w:sz w:val="18"/>
      <w:szCs w:val="18"/>
    </w:rPr>
  </w:style>
  <w:style w:type="character" w:customStyle="1" w:styleId="19">
    <w:name w:val="页眉 字符"/>
    <w:link w:val="6"/>
    <w:qFormat/>
    <w:uiPriority w:val="99"/>
    <w:rPr>
      <w:sz w:val="18"/>
      <w:szCs w:val="18"/>
    </w:rPr>
  </w:style>
  <w:style w:type="paragraph" w:customStyle="1" w:styleId="20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21">
    <w:name w:val="批注文字 字符"/>
    <w:basedOn w:val="11"/>
    <w:link w:val="2"/>
    <w:qFormat/>
    <w:uiPriority w:val="0"/>
    <w:rPr>
      <w:kern w:val="2"/>
      <w:sz w:val="21"/>
      <w:szCs w:val="22"/>
    </w:rPr>
  </w:style>
  <w:style w:type="character" w:customStyle="1" w:styleId="22">
    <w:name w:val="批注主题 字符"/>
    <w:basedOn w:val="21"/>
    <w:link w:val="8"/>
    <w:semiHidden/>
    <w:qFormat/>
    <w:uiPriority w:val="99"/>
    <w:rPr>
      <w:b/>
      <w:bCs/>
      <w:kern w:val="2"/>
      <w:sz w:val="21"/>
      <w:szCs w:val="22"/>
    </w:rPr>
  </w:style>
  <w:style w:type="paragraph" w:customStyle="1" w:styleId="23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983</Words>
  <Characters>1100</Characters>
  <Lines>8</Lines>
  <Paragraphs>2</Paragraphs>
  <TotalTime>0</TotalTime>
  <ScaleCrop>false</ScaleCrop>
  <LinksUpToDate>false</LinksUpToDate>
  <CharactersWithSpaces>1100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2025-12-26T06:59:00Z</dcterms:created>
  <dc:creator>admin</dc:creator>
  <cp:lastModifiedBy>admin</cp:lastModifiedBy>
  <cp:lastPrinted>2014-10-09T02:48:00Z</cp:lastPrinted>
  <dcterms:modified xsi:type="dcterms:W3CDTF">2026-04-10T09:13:39Z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5FD29769B59347B489E472AEEF92C3C5</vt:lpwstr>
  </property>
  <property fmtid="{D5CDD505-2E9C-101B-9397-08002B2CF9AE}" pid="4" name="KSOTemplateDocerSaveRecord">
    <vt:lpwstr>eyJoZGlkIjoiNjQwNjNhMWE2ZjQ1NGMwZDk0OTMyNzczNmNkMTZlZDQiLCJ1c2VySWQiOiI0OTQyMjIzNDkifQ==</vt:lpwstr>
  </property>
</Properties>
</file>