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C1E4F">
      <w:pPr>
        <w:widowControl/>
        <w:spacing w:after="240" w:line="594" w:lineRule="exact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51969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7A1E31A3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685E1346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  <w:t>港铁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lang w:bidi="ar-AE"/>
              </w:rPr>
              <w:t>(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  <w:t>澳洲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lang w:bidi="ar-AE"/>
              </w:rPr>
              <w:t>)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  <w:t>有限公司与中国中车(香港)有限公司新设合营企业案</w:t>
            </w:r>
          </w:p>
        </w:tc>
      </w:tr>
      <w:tr w14:paraId="691ED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71DF1C92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79CA5B3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ascii="宋体" w:hAnsi="宋体" w:cs="宋体"/>
                <w:bCs/>
                <w:color w:val="000000"/>
                <w:kern w:val="0"/>
                <w:sz w:val="24"/>
                <w:lang w:bidi="ar-AE"/>
              </w:rPr>
              <w:t>港铁(澳洲)有限公司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  <w:t>（英文名称：</w:t>
            </w:r>
            <w:r>
              <w:rPr>
                <w:rFonts w:ascii="宋体" w:hAnsi="宋体"/>
                <w:sz w:val="24"/>
              </w:rPr>
              <w:t>MTR Corporation (Australia) Pty Limited</w:t>
            </w:r>
            <w:r>
              <w:rPr>
                <w:rFonts w:hint="eastAsia" w:ascii="宋体" w:hAnsi="宋体"/>
                <w:sz w:val="24"/>
              </w:rPr>
              <w:t>）</w:t>
            </w:r>
            <w:r>
              <w:rPr>
                <w:rFonts w:ascii="宋体" w:hAnsi="宋体"/>
                <w:sz w:val="24"/>
              </w:rPr>
              <w:t>（“港铁澳洲”）</w:t>
            </w:r>
            <w:r>
              <w:rPr>
                <w:rFonts w:hint="eastAsia" w:ascii="宋体" w:hAnsi="宋体"/>
                <w:sz w:val="24"/>
              </w:rPr>
              <w:t>与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  <w:t>中国中车(香港)有限公司（“</w:t>
            </w:r>
            <w:r>
              <w:rPr>
                <w:rFonts w:ascii="宋体" w:hAnsi="宋体"/>
                <w:sz w:val="24"/>
              </w:rPr>
              <w:t>中车香港</w:t>
            </w:r>
            <w:r>
              <w:rPr>
                <w:rFonts w:hint="eastAsia" w:ascii="宋体" w:hAnsi="宋体"/>
                <w:sz w:val="24"/>
              </w:rPr>
              <w:t>”）</w:t>
            </w:r>
            <w:r>
              <w:rPr>
                <w:rFonts w:ascii="宋体" w:hAnsi="宋体"/>
                <w:sz w:val="24"/>
              </w:rPr>
              <w:t>签署《</w:t>
            </w:r>
            <w:r>
              <w:rPr>
                <w:rFonts w:hint="eastAsia" w:ascii="宋体" w:hAnsi="宋体"/>
                <w:sz w:val="24"/>
              </w:rPr>
              <w:t>合作协议（</w:t>
            </w:r>
            <w:r>
              <w:rPr>
                <w:rFonts w:ascii="宋体" w:hAnsi="宋体"/>
                <w:sz w:val="24"/>
              </w:rPr>
              <w:t>Cooperation Agreement</w:t>
            </w:r>
            <w:r>
              <w:rPr>
                <w:rFonts w:hint="eastAsia" w:ascii="宋体" w:hAnsi="宋体"/>
                <w:sz w:val="24"/>
              </w:rPr>
              <w:t>）</w:t>
            </w:r>
            <w:r>
              <w:rPr>
                <w:rFonts w:ascii="宋体" w:hAnsi="宋体"/>
                <w:sz w:val="24"/>
              </w:rPr>
              <w:t>》，拟</w:t>
            </w:r>
            <w:r>
              <w:rPr>
                <w:rFonts w:hint="eastAsia" w:ascii="宋体" w:hAnsi="宋体"/>
                <w:sz w:val="24"/>
              </w:rPr>
              <w:t>共同</w:t>
            </w:r>
            <w:r>
              <w:rPr>
                <w:rFonts w:ascii="宋体" w:hAnsi="宋体"/>
                <w:sz w:val="24"/>
              </w:rPr>
              <w:t>在澳大利亚新设</w:t>
            </w:r>
            <w:r>
              <w:rPr>
                <w:rFonts w:hint="eastAsia" w:ascii="宋体" w:hAnsi="宋体"/>
                <w:sz w:val="24"/>
              </w:rPr>
              <w:t>一家</w:t>
            </w:r>
            <w:r>
              <w:rPr>
                <w:rFonts w:ascii="宋体" w:hAnsi="宋体"/>
                <w:sz w:val="24"/>
              </w:rPr>
              <w:t>合营企业，</w:t>
            </w:r>
            <w:r>
              <w:rPr>
                <w:rFonts w:hint="eastAsia" w:ascii="宋体" w:hAnsi="宋体"/>
                <w:sz w:val="24"/>
              </w:rPr>
              <w:t>通过合营企业从事工程设计服务</w:t>
            </w:r>
            <w:r>
              <w:rPr>
                <w:rFonts w:ascii="宋体" w:hAnsi="宋体"/>
                <w:sz w:val="24"/>
              </w:rPr>
              <w:t>。交易后</w:t>
            </w:r>
            <w:r>
              <w:rPr>
                <w:rFonts w:hint="eastAsia" w:ascii="宋体" w:hAnsi="宋体"/>
                <w:sz w:val="24"/>
              </w:rPr>
              <w:t>港铁澳洲与中车香港在合营企业的持股比例为51%:49%，</w:t>
            </w:r>
            <w:r>
              <w:rPr>
                <w:rFonts w:ascii="宋体" w:hAnsi="宋体"/>
                <w:sz w:val="24"/>
              </w:rPr>
              <w:t>共同控制合营企业。</w:t>
            </w:r>
            <w:r>
              <w:rPr>
                <w:rFonts w:hint="eastAsia" w:ascii="宋体" w:hAnsi="宋体"/>
                <w:sz w:val="24"/>
              </w:rPr>
              <w:t>合营企业将仅在澳大利亚从事业务，不会在中国境内从事任何业务。</w:t>
            </w:r>
          </w:p>
        </w:tc>
      </w:tr>
      <w:tr w14:paraId="26B7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E581065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100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字以内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40FAA950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1.港铁澳洲</w:t>
            </w:r>
          </w:p>
        </w:tc>
        <w:tc>
          <w:tcPr>
            <w:tcW w:w="6093" w:type="dxa"/>
            <w:vAlign w:val="center"/>
          </w:tcPr>
          <w:p w14:paraId="595F124D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/>
                <w:lang w:eastAsia="zh-CN"/>
              </w:rPr>
              <w:t>港铁澳洲于2012年2月23日成立于澳大利亚，主要在澳大利亚从事铁路建设、运营和维护相关业务。</w:t>
            </w:r>
            <w:r>
              <w:rPr>
                <w:rFonts w:ascii="宋体" w:hAnsi="宋体"/>
                <w:lang w:eastAsia="zh-CN"/>
              </w:rPr>
              <w:br w:type="textWrapping"/>
            </w:r>
            <w:r>
              <w:rPr>
                <w:rFonts w:ascii="宋体" w:hAnsi="宋体"/>
                <w:lang w:eastAsia="zh-CN"/>
              </w:rPr>
              <w:t>港铁澳洲的最终控制人为香港铁路有限公司，主要从事铁路运营、铁路工程及项目管理、物业发展和相关顾问服务。</w:t>
            </w:r>
          </w:p>
        </w:tc>
      </w:tr>
      <w:tr w14:paraId="5C549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BAE0C6B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9F7A167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2.中车香港</w:t>
            </w:r>
          </w:p>
        </w:tc>
        <w:tc>
          <w:tcPr>
            <w:tcW w:w="6093" w:type="dxa"/>
            <w:vAlign w:val="center"/>
          </w:tcPr>
          <w:p w14:paraId="1E50BB13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中车香港于2008年4月7日成立于中国香港，主要从事国际贸易及财务投资业务。</w:t>
            </w:r>
            <w:r>
              <w:rPr>
                <w:rFonts w:ascii="宋体" w:hAnsi="宋体"/>
                <w:lang w:eastAsia="zh-CN"/>
              </w:rPr>
              <w:br w:type="textWrapping"/>
            </w:r>
            <w:r>
              <w:rPr>
                <w:rFonts w:ascii="宋体" w:hAnsi="宋体"/>
                <w:lang w:eastAsia="zh-CN"/>
              </w:rPr>
              <w:t>中车香港的最终控制人为中国中车集团有限公司，主要从事轨道交通装备及零部件、机电产品和新能源相关业务。</w:t>
            </w:r>
          </w:p>
        </w:tc>
      </w:tr>
      <w:tr w14:paraId="73722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83CD3C2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B361787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在同一相关市场，参与集中的经营者所占的市场份额之和小于15%。</w:t>
            </w:r>
          </w:p>
        </w:tc>
      </w:tr>
      <w:tr w14:paraId="6972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873CE78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4764910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在上下游市场，参与集中的经营者所占的市场份额均小于25%。</w:t>
            </w:r>
          </w:p>
        </w:tc>
      </w:tr>
      <w:tr w14:paraId="1148F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6E3BEC6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419C8D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3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不在同一相关市场也不存在上下游关系的参与集中的经营者，在与交易有关的每个市场所占的市场份额均小于25%。</w:t>
            </w:r>
          </w:p>
        </w:tc>
      </w:tr>
      <w:tr w14:paraId="193CF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FA6909A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1269A7A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参与集中的经营者在中国境外设立合营企业，合营企业不在中国境内从事经济活动。</w:t>
            </w:r>
          </w:p>
        </w:tc>
      </w:tr>
      <w:tr w14:paraId="7312F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D48216D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EA36A17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参与集中的经营者收购境外企业股权或资产的，该境外企业不在中国境内从事经济活动。</w:t>
            </w:r>
          </w:p>
        </w:tc>
      </w:tr>
      <w:tr w14:paraId="50415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A3F1460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6CD05C3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由两个以上的经营者共同控制的合营企业，通过集中被其中一个或一个以上经营者控制。</w:t>
            </w:r>
          </w:p>
        </w:tc>
      </w:tr>
      <w:tr w14:paraId="3D37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43" w:hRule="atLeast"/>
        </w:trPr>
        <w:tc>
          <w:tcPr>
            <w:tcW w:w="1940" w:type="dxa"/>
            <w:shd w:val="clear" w:color="auto" w:fill="D9D9D9"/>
            <w:vAlign w:val="center"/>
          </w:tcPr>
          <w:p w14:paraId="4C3867CB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A0148B5">
            <w:pPr>
              <w:pStyle w:val="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不适用</w:t>
            </w:r>
          </w:p>
        </w:tc>
      </w:tr>
    </w:tbl>
    <w:p w14:paraId="1623F4F0">
      <w:pPr>
        <w:pStyle w:val="7"/>
        <w:adjustRightInd w:val="0"/>
        <w:snapToGrid w:val="0"/>
        <w:spacing w:after="0"/>
        <w:rPr>
          <w:rFonts w:ascii="Arial" w:hAnsi="Arial" w:eastAsia="楷体_GB2312" w:cs="Arial"/>
          <w:b/>
          <w:color w:val="000000"/>
          <w:sz w:val="22"/>
          <w:szCs w:val="22"/>
          <w:lang w:eastAsia="zh-CN"/>
        </w:rPr>
      </w:pPr>
    </w:p>
    <w:sectPr>
      <w:endnotePr>
        <w:numFmt w:val="decimal"/>
      </w:endnotePr>
      <w:pgSz w:w="11906" w:h="16838"/>
      <w:pgMar w:top="1984" w:right="1474" w:bottom="1644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Wingdings 3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ESI黑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黑体">
    <w:altName w:val="方正黑体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ESI楷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implified Arabic">
    <w:altName w:val="Times New Roman"/>
    <w:panose1 w:val="02020603050405020304"/>
    <w:charset w:val="B2"/>
    <w:family w:val="roman"/>
    <w:pitch w:val="default"/>
    <w:sig w:usb0="00000000" w:usb1="00000000" w:usb2="00000008" w:usb3="00000000" w:csb0="00000041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楷体_GB2312">
    <w:altName w:val="方正楷体_GBK"/>
    <w:panose1 w:val="020B0604020202020204"/>
    <w:charset w:val="00"/>
    <w:family w:val="modern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733A5F"/>
    <w:multiLevelType w:val="multilevel"/>
    <w:tmpl w:val="4B733A5F"/>
    <w:lvl w:ilvl="0" w:tentative="0">
      <w:start w:val="1"/>
      <w:numFmt w:val="decimal"/>
      <w:pStyle w:val="14"/>
      <w:suff w:val="nothing"/>
      <w:lvlText w:val="示例%1："/>
      <w:lvlJc w:val="left"/>
      <w:pPr>
        <w:ind w:left="0" w:firstLine="363"/>
      </w:pPr>
      <w:rPr>
        <w:rFonts w:hint="default" w:ascii="黑体" w:eastAsia="黑体"/>
        <w:b w:val="0"/>
        <w:i w:val="0"/>
        <w:sz w:val="20"/>
        <w:szCs w:val="21"/>
      </w:rPr>
    </w:lvl>
    <w:lvl w:ilvl="1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6FBDD792"/>
    <w:rsid w:val="00033EDA"/>
    <w:rsid w:val="0018262B"/>
    <w:rsid w:val="002B05E5"/>
    <w:rsid w:val="00515A65"/>
    <w:rsid w:val="00577E32"/>
    <w:rsid w:val="00627D51"/>
    <w:rsid w:val="0063699F"/>
    <w:rsid w:val="00653291"/>
    <w:rsid w:val="0070027D"/>
    <w:rsid w:val="00723BEC"/>
    <w:rsid w:val="007E19AC"/>
    <w:rsid w:val="00890AA8"/>
    <w:rsid w:val="009869AA"/>
    <w:rsid w:val="00B4489E"/>
    <w:rsid w:val="00E804C3"/>
    <w:rsid w:val="028840AF"/>
    <w:rsid w:val="04C66C1A"/>
    <w:rsid w:val="054F6C10"/>
    <w:rsid w:val="08E158A2"/>
    <w:rsid w:val="1224631A"/>
    <w:rsid w:val="13F15F6F"/>
    <w:rsid w:val="19DD25E4"/>
    <w:rsid w:val="1D6F6EFE"/>
    <w:rsid w:val="1F7C72D8"/>
    <w:rsid w:val="27FF8C74"/>
    <w:rsid w:val="297D67B3"/>
    <w:rsid w:val="2D246E2C"/>
    <w:rsid w:val="2FF64C83"/>
    <w:rsid w:val="33A9646D"/>
    <w:rsid w:val="3EFED501"/>
    <w:rsid w:val="3F7F152F"/>
    <w:rsid w:val="3FFB76BA"/>
    <w:rsid w:val="43CC3C6E"/>
    <w:rsid w:val="46DFCD99"/>
    <w:rsid w:val="49659447"/>
    <w:rsid w:val="4C0F3FD0"/>
    <w:rsid w:val="4D5F3D23"/>
    <w:rsid w:val="4DDF777B"/>
    <w:rsid w:val="511432B7"/>
    <w:rsid w:val="5596691C"/>
    <w:rsid w:val="5673F12B"/>
    <w:rsid w:val="59FAB6B4"/>
    <w:rsid w:val="5C6AC506"/>
    <w:rsid w:val="5DBB2A74"/>
    <w:rsid w:val="5DD74733"/>
    <w:rsid w:val="5E224037"/>
    <w:rsid w:val="5F09CE98"/>
    <w:rsid w:val="622B7232"/>
    <w:rsid w:val="65351DA4"/>
    <w:rsid w:val="6AFC31C5"/>
    <w:rsid w:val="6B8148C3"/>
    <w:rsid w:val="6E9F3608"/>
    <w:rsid w:val="6E9FB973"/>
    <w:rsid w:val="6FBDD792"/>
    <w:rsid w:val="70A1528F"/>
    <w:rsid w:val="73F532D8"/>
    <w:rsid w:val="74D42207"/>
    <w:rsid w:val="76D76867"/>
    <w:rsid w:val="76FE3A0F"/>
    <w:rsid w:val="795F2FFF"/>
    <w:rsid w:val="79F751C4"/>
    <w:rsid w:val="7A8C48BA"/>
    <w:rsid w:val="7AFFB2DD"/>
    <w:rsid w:val="7BE9FB5F"/>
    <w:rsid w:val="7BFFD668"/>
    <w:rsid w:val="7C171105"/>
    <w:rsid w:val="7D7D4415"/>
    <w:rsid w:val="7DFF1FA3"/>
    <w:rsid w:val="7EF38296"/>
    <w:rsid w:val="7F4A2270"/>
    <w:rsid w:val="7F6F728B"/>
    <w:rsid w:val="7FEF3501"/>
    <w:rsid w:val="8EAE45C5"/>
    <w:rsid w:val="95EB2DB8"/>
    <w:rsid w:val="9B68F012"/>
    <w:rsid w:val="9B7FA9C1"/>
    <w:rsid w:val="9F9DCBBF"/>
    <w:rsid w:val="AEDC8874"/>
    <w:rsid w:val="BBD36F41"/>
    <w:rsid w:val="BC3517BA"/>
    <w:rsid w:val="BFCBE8C8"/>
    <w:rsid w:val="D65DD245"/>
    <w:rsid w:val="D76F6EF4"/>
    <w:rsid w:val="DFBC2832"/>
    <w:rsid w:val="DFFBED4B"/>
    <w:rsid w:val="DFFC4C00"/>
    <w:rsid w:val="DFFCC2EC"/>
    <w:rsid w:val="EEEB4FAF"/>
    <w:rsid w:val="EEEDAE81"/>
    <w:rsid w:val="EF7CA40F"/>
    <w:rsid w:val="EFB8BE87"/>
    <w:rsid w:val="EFFC8800"/>
    <w:rsid w:val="EFFF9D5B"/>
    <w:rsid w:val="F0CF0FA1"/>
    <w:rsid w:val="F3C90D24"/>
    <w:rsid w:val="F78D7951"/>
    <w:rsid w:val="F7BD343A"/>
    <w:rsid w:val="F7DBD425"/>
    <w:rsid w:val="F7FA0022"/>
    <w:rsid w:val="FB46F0CF"/>
    <w:rsid w:val="FCFF25BD"/>
    <w:rsid w:val="FDBB9C9D"/>
    <w:rsid w:val="FDFA8F58"/>
    <w:rsid w:val="FEFB7B3A"/>
    <w:rsid w:val="FEFED215"/>
    <w:rsid w:val="FEFF3882"/>
    <w:rsid w:val="FFC7B96D"/>
    <w:rsid w:val="FFFCE7EB"/>
    <w:rsid w:val="FFFF7513"/>
    <w:rsid w:val="FFFF9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jc w:val="center"/>
      <w:outlineLvl w:val="0"/>
    </w:pPr>
    <w:rPr>
      <w:rFonts w:ascii="Calibri" w:hAnsi="Calibri" w:eastAsia="CESI黑体-GB2312"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/>
      <w:jc w:val="center"/>
      <w:outlineLvl w:val="1"/>
    </w:pPr>
    <w:rPr>
      <w:rFonts w:ascii="Arial" w:hAnsi="Arial" w:eastAsia="黑体"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/>
      <w:jc w:val="center"/>
      <w:outlineLvl w:val="2"/>
    </w:pPr>
    <w:rPr>
      <w:rFonts w:ascii="Calibri" w:hAnsi="Calibri" w:eastAsia="CESI楷体-GB2312"/>
      <w:sz w:val="30"/>
    </w:rPr>
  </w:style>
  <w:style w:type="paragraph" w:styleId="5">
    <w:name w:val="heading 4"/>
    <w:basedOn w:val="1"/>
    <w:next w:val="1"/>
    <w:link w:val="11"/>
    <w:unhideWhenUsed/>
    <w:qFormat/>
    <w:uiPriority w:val="0"/>
    <w:pPr>
      <w:keepNext/>
      <w:keepLines/>
      <w:spacing w:before="280" w:after="290"/>
      <w:jc w:val="left"/>
      <w:outlineLvl w:val="3"/>
    </w:pPr>
    <w:rPr>
      <w:rFonts w:ascii="Arial" w:hAnsi="Arial" w:eastAsia="方正楷体_GBK"/>
      <w:color w:val="C00000"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qFormat/>
    <w:uiPriority w:val="0"/>
    <w:pPr>
      <w:spacing w:after="240"/>
      <w:jc w:val="both"/>
    </w:pPr>
    <w:rPr>
      <w:rFonts w:ascii="Times New Roman" w:hAnsi="Times New Roman" w:eastAsia="宋体" w:cs="Simplified Arabic"/>
      <w:sz w:val="24"/>
      <w:szCs w:val="24"/>
      <w:lang w:val="en-GB" w:eastAsia="en-GB" w:bidi="ar-AE"/>
    </w:rPr>
  </w:style>
  <w:style w:type="table" w:styleId="9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标题 4 字符"/>
    <w:link w:val="5"/>
    <w:qFormat/>
    <w:uiPriority w:val="0"/>
    <w:rPr>
      <w:rFonts w:ascii="Arial" w:hAnsi="Arial" w:eastAsia="方正楷体_GBK"/>
      <w:color w:val="C00000"/>
      <w:sz w:val="28"/>
    </w:rPr>
  </w:style>
  <w:style w:type="paragraph" w:customStyle="1" w:styleId="12">
    <w:name w:val="标题五"/>
    <w:basedOn w:val="6"/>
    <w:next w:val="1"/>
    <w:qFormat/>
    <w:uiPriority w:val="0"/>
    <w:rPr>
      <w:rFonts w:ascii="Arial" w:hAnsi="Arial" w:eastAsia="黑体" w:cs="Arial"/>
      <w:b w:val="0"/>
      <w:snapToGrid w:val="0"/>
      <w:color w:val="000000"/>
      <w:kern w:val="0"/>
      <w:sz w:val="21"/>
      <w:szCs w:val="21"/>
    </w:rPr>
  </w:style>
  <w:style w:type="paragraph" w:customStyle="1" w:styleId="13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4">
    <w:name w:val="标准文件_示例×："/>
    <w:basedOn w:val="1"/>
    <w:next w:val="15"/>
    <w:qFormat/>
    <w:uiPriority w:val="0"/>
    <w:pPr>
      <w:widowControl/>
      <w:numPr>
        <w:ilvl w:val="0"/>
        <w:numId w:val="1"/>
      </w:numPr>
    </w:pPr>
    <w:rPr>
      <w:rFonts w:ascii="宋体"/>
      <w:kern w:val="0"/>
      <w:sz w:val="18"/>
      <w:szCs w:val="18"/>
    </w:rPr>
  </w:style>
  <w:style w:type="paragraph" w:customStyle="1" w:styleId="15">
    <w:name w:val="标准文件_示例内容"/>
    <w:basedOn w:val="13"/>
    <w:qFormat/>
    <w:uiPriority w:val="0"/>
    <w:rPr>
      <w:sz w:val="18"/>
    </w:rPr>
  </w:style>
  <w:style w:type="paragraph" w:customStyle="1" w:styleId="16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7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405</Words>
  <Characters>405</Characters>
  <Lines>22</Lines>
  <Paragraphs>27</Paragraphs>
  <TotalTime>9</TotalTime>
  <ScaleCrop>false</ScaleCrop>
  <LinksUpToDate>false</LinksUpToDate>
  <CharactersWithSpaces>783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2024-04-14T14:41:00Z</dcterms:created>
  <dc:creator>oa</dc:creator>
  <cp:lastModifiedBy>天凉好个秋</cp:lastModifiedBy>
  <dcterms:modified xsi:type="dcterms:W3CDTF">2026-08-19T16:11:22Z</dcterms:modified>
  <dc:title>附件4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A2433D6C76094FDCC4A9756ACC955648_43</vt:lpwstr>
  </property>
  <property fmtid="{D5CDD505-2E9C-101B-9397-08002B2CF9AE}" pid="4" name="KSOTemplateDocerSaveRecord">
    <vt:lpwstr>eyJoZGlkIjoiNTQ4MGUyYTYyZDczNmJhZjQwY2NkMDY5MjdmZTdhZGUiLCJ1c2VySWQiOiIyMDkyMDIyNzEifQ==</vt:lpwstr>
  </property>
</Properties>
</file>