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B6D4D" w14:textId="77777777" w:rsidR="008743E2" w:rsidRDefault="00166028">
      <w:pPr>
        <w:jc w:val="center"/>
        <w:rPr>
          <w:rFonts w:ascii="SimHei" w:eastAsia="SimHei" w:hAnsi="SimHei" w:cs="SimHei"/>
          <w:bCs/>
          <w:sz w:val="36"/>
          <w:szCs w:val="36"/>
        </w:rPr>
      </w:pPr>
      <w:r>
        <w:rPr>
          <w:rFonts w:ascii="SimHei" w:eastAsia="SimHei" w:hAnsi="SimHei" w:cs="SimHei"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917"/>
        <w:gridCol w:w="5783"/>
      </w:tblGrid>
      <w:tr w:rsidR="008743E2" w14:paraId="73675B00" w14:textId="77777777">
        <w:trPr>
          <w:trHeight w:val="926"/>
        </w:trPr>
        <w:tc>
          <w:tcPr>
            <w:tcW w:w="1940" w:type="dxa"/>
            <w:shd w:val="clear" w:color="auto" w:fill="D9D9D9"/>
            <w:vAlign w:val="center"/>
          </w:tcPr>
          <w:p w14:paraId="22FD031C" w14:textId="77777777" w:rsidR="008743E2" w:rsidRDefault="00166028">
            <w:pPr>
              <w:pStyle w:val="BodyText"/>
              <w:adjustRightInd w:val="0"/>
              <w:snapToGrid w:val="0"/>
              <w:spacing w:after="0"/>
              <w:rPr>
                <w:rFonts w:ascii="SimSun" w:hAnsi="SimSun" w:cs="SimSun"/>
                <w:bCs/>
                <w:color w:val="000000"/>
                <w:lang w:val="en-US"/>
              </w:rPr>
            </w:pPr>
            <w:proofErr w:type="spellStart"/>
            <w:r>
              <w:rPr>
                <w:rFonts w:ascii="SimSun" w:hAnsi="SimSun" w:cs="SimSun" w:hint="eastAsia"/>
                <w:bCs/>
                <w:color w:val="000000"/>
              </w:rPr>
              <w:t>案件名称</w:t>
            </w:r>
            <w:proofErr w:type="spellEnd"/>
          </w:p>
        </w:tc>
        <w:tc>
          <w:tcPr>
            <w:tcW w:w="7700" w:type="dxa"/>
            <w:gridSpan w:val="2"/>
            <w:vAlign w:val="center"/>
          </w:tcPr>
          <w:p w14:paraId="5F6CFE5F" w14:textId="77777777" w:rsidR="008743E2" w:rsidRDefault="00166028">
            <w:pPr>
              <w:adjustRightInd w:val="0"/>
              <w:snapToGrid w:val="0"/>
              <w:spacing w:after="0"/>
              <w:rPr>
                <w:rFonts w:ascii="SimSun" w:hAnsi="SimSun" w:cs="SimSun"/>
                <w:bCs/>
                <w:color w:val="000000"/>
                <w:lang w:val="en-US"/>
              </w:rPr>
            </w:pPr>
            <w:r>
              <w:rPr>
                <w:rFonts w:ascii="SimSun" w:hAnsi="SimSun" w:cs="SimSun" w:hint="eastAsia"/>
                <w:bCs/>
                <w:color w:val="000000"/>
                <w:lang w:val="en-US"/>
              </w:rPr>
              <w:t>上海医药大健康云商股份有限公司收购武汉科海园大药房连锁有限公司等八家公司股权案</w:t>
            </w:r>
          </w:p>
        </w:tc>
      </w:tr>
      <w:tr w:rsidR="008743E2" w14:paraId="7228B5B5" w14:textId="77777777">
        <w:trPr>
          <w:trHeight w:val="90"/>
        </w:trPr>
        <w:tc>
          <w:tcPr>
            <w:tcW w:w="1940" w:type="dxa"/>
            <w:shd w:val="clear" w:color="auto" w:fill="D9D9D9"/>
            <w:vAlign w:val="center"/>
          </w:tcPr>
          <w:p w14:paraId="5F1AFCB2"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eastAsia="zh-CN"/>
              </w:rPr>
              <w:t>交易概况（限200字内）</w:t>
            </w:r>
          </w:p>
        </w:tc>
        <w:tc>
          <w:tcPr>
            <w:tcW w:w="7700" w:type="dxa"/>
            <w:gridSpan w:val="2"/>
            <w:vAlign w:val="center"/>
          </w:tcPr>
          <w:p w14:paraId="295D0F82" w14:textId="3FAB0EFD" w:rsidR="008743E2" w:rsidRDefault="00166028">
            <w:pPr>
              <w:widowControl w:val="0"/>
              <w:adjustRightInd w:val="0"/>
              <w:snapToGrid w:val="0"/>
              <w:spacing w:after="0"/>
              <w:rPr>
                <w:rFonts w:ascii="SimSun" w:hAnsi="SimSun" w:cs="SimSun"/>
                <w:lang w:val="en-US"/>
              </w:rPr>
            </w:pPr>
            <w:r>
              <w:t>上海医药集团股份有限公司</w:t>
            </w:r>
            <w:r>
              <w:rPr>
                <w:rFonts w:hint="eastAsia"/>
              </w:rPr>
              <w:t>（“</w:t>
            </w:r>
            <w:r>
              <w:rPr>
                <w:rFonts w:cs="SimSun"/>
                <w:lang w:val="en-US"/>
              </w:rPr>
              <w:t>上海医药集团</w:t>
            </w:r>
            <w:r>
              <w:rPr>
                <w:rFonts w:cs="SimSun" w:hint="eastAsia"/>
                <w:lang w:val="en-US"/>
              </w:rPr>
              <w:t>”）</w:t>
            </w:r>
            <w:r>
              <w:rPr>
                <w:rFonts w:ascii="SimSun" w:hAnsi="SimSun" w:cs="SimSun" w:hint="eastAsia"/>
              </w:rPr>
              <w:t>旗下2家股权转让主体拟</w:t>
            </w:r>
            <w:r>
              <w:rPr>
                <w:rFonts w:ascii="SimSun" w:hAnsi="SimSun" w:cs="SimSun" w:hint="eastAsia"/>
                <w:lang w:val="en-US"/>
              </w:rPr>
              <w:t>与</w:t>
            </w:r>
            <w:r>
              <w:rPr>
                <w:rFonts w:ascii="SimSun" w:hAnsi="SimSun" w:cs="SimSun" w:hint="eastAsia"/>
              </w:rPr>
              <w:t>上海医药大健康云商股份有限公司（“云健康”）或其关联公司签署协议，转让其持有的武汉科海园大药房连锁有限公司</w:t>
            </w:r>
            <w:r>
              <w:rPr>
                <w:rFonts w:ascii="SimSun" w:hAnsi="SimSun" w:cs="SimSun" w:hint="eastAsia"/>
                <w:bCs/>
                <w:color w:val="000000"/>
              </w:rPr>
              <w:t>（“武汉科海园”）、</w:t>
            </w:r>
            <w:r>
              <w:rPr>
                <w:rFonts w:ascii="SimSun" w:hAnsi="SimSun" w:cs="SimSun" w:hint="eastAsia"/>
                <w:bCs/>
                <w:color w:val="000000"/>
                <w:lang w:val="en-US"/>
              </w:rPr>
              <w:t>上药控股（宁波）大药房有限公司（“上药宁波大药房”）、宁波市海曙新芝医药零售有限公司（“海曙新芝”）、宁波海曙益友大药房有限公司（“海曙益友”）、宁波惠宁大药房有限公司（“宁波惠宁”）、宁波利东大药房有限公司（“宁波利东”）、宁波柳汀大药房有限公司（“宁波柳汀”）、宁波银苑大药房有限公司（“宁波银苑”）</w:t>
            </w:r>
            <w:r>
              <w:rPr>
                <w:rFonts w:ascii="SimSun" w:hAnsi="SimSun" w:cs="SimSun"/>
                <w:lang w:val="en-US"/>
              </w:rPr>
              <w:t>8</w:t>
            </w:r>
            <w:r>
              <w:rPr>
                <w:rFonts w:ascii="SimSun" w:hAnsi="SimSun" w:cs="SimSun" w:hint="eastAsia"/>
              </w:rPr>
              <w:t>家目标公司的全部或部分股权。</w:t>
            </w:r>
            <w:r>
              <w:rPr>
                <w:rFonts w:ascii="SimSun" w:hAnsi="SimSun" w:cs="SimSun"/>
                <w:lang w:val="en-US"/>
              </w:rPr>
              <w:t>8</w:t>
            </w:r>
            <w:r>
              <w:rPr>
                <w:rFonts w:ascii="SimSun" w:hAnsi="SimSun" w:cs="SimSun" w:hint="eastAsia"/>
                <w:lang w:val="en-US"/>
              </w:rPr>
              <w:t>家目标公司主要在湖北省武汉市、浙江省宁波市从事药品零售业务。</w:t>
            </w:r>
            <w:r>
              <w:rPr>
                <w:rFonts w:ascii="SimSun" w:hAnsi="SimSun" w:cs="SimSun" w:hint="eastAsia"/>
              </w:rPr>
              <w:br/>
              <w:t>交易前，上海医药集团间接持有</w:t>
            </w:r>
            <w:r>
              <w:rPr>
                <w:rFonts w:ascii="SimSun" w:hAnsi="SimSun" w:cs="SimSun" w:hint="eastAsia"/>
                <w:bCs/>
                <w:color w:val="000000"/>
              </w:rPr>
              <w:t>武汉科海园</w:t>
            </w:r>
            <w:r>
              <w:rPr>
                <w:rFonts w:ascii="SimSun" w:hAnsi="SimSun" w:cs="SimSun" w:hint="eastAsia"/>
                <w:bCs/>
                <w:color w:val="000000"/>
                <w:lang w:val="en-US"/>
              </w:rPr>
              <w:t>36%股权</w:t>
            </w:r>
            <w:r w:rsidR="005D74C2">
              <w:rPr>
                <w:rFonts w:ascii="SimSun" w:hAnsi="SimSun" w:cs="SimSun" w:hint="eastAsia"/>
                <w:bCs/>
                <w:color w:val="000000"/>
                <w:lang w:val="en-US"/>
              </w:rPr>
              <w:t>，以及</w:t>
            </w:r>
            <w:r>
              <w:rPr>
                <w:rFonts w:ascii="SimSun" w:hAnsi="SimSun" w:cs="SimSun" w:hint="eastAsia"/>
                <w:bCs/>
                <w:color w:val="000000"/>
                <w:lang w:val="en-US"/>
              </w:rPr>
              <w:t>上药宁波大药房、海曙新芝、海曙益友、宁波惠宁、宁波利东、宁波柳汀、宁波银苑63.6124%股权，</w:t>
            </w:r>
            <w:r>
              <w:rPr>
                <w:rFonts w:ascii="SimSun" w:hAnsi="SimSun" w:cs="SimSun" w:hint="eastAsia"/>
              </w:rPr>
              <w:t>单独控制上述</w:t>
            </w:r>
            <w:r>
              <w:rPr>
                <w:rFonts w:ascii="SimSun" w:hAnsi="SimSun" w:cs="SimSun"/>
                <w:lang w:val="en-US"/>
              </w:rPr>
              <w:t>8</w:t>
            </w:r>
            <w:r>
              <w:rPr>
                <w:rFonts w:ascii="SimSun" w:hAnsi="SimSun" w:cs="SimSun" w:hint="eastAsia"/>
              </w:rPr>
              <w:t>家目标公司。交易后，云健康将</w:t>
            </w:r>
            <w:r>
              <w:rPr>
                <w:rFonts w:ascii="SimSun" w:hAnsi="SimSun" w:cs="SimSun" w:hint="eastAsia"/>
                <w:lang w:val="en-US"/>
              </w:rPr>
              <w:t>分别</w:t>
            </w:r>
            <w:r>
              <w:rPr>
                <w:rFonts w:ascii="SimSun" w:hAnsi="SimSun" w:cs="SimSun" w:hint="eastAsia"/>
              </w:rPr>
              <w:t>持有上述</w:t>
            </w:r>
            <w:r>
              <w:rPr>
                <w:rFonts w:ascii="SimSun" w:hAnsi="SimSun" w:cs="SimSun"/>
                <w:lang w:val="en-US"/>
              </w:rPr>
              <w:t>8</w:t>
            </w:r>
            <w:r>
              <w:rPr>
                <w:rFonts w:ascii="SimSun" w:hAnsi="SimSun" w:cs="SimSun" w:hint="eastAsia"/>
              </w:rPr>
              <w:t>家目标公司</w:t>
            </w:r>
            <w:r>
              <w:rPr>
                <w:rFonts w:ascii="SimSun" w:hAnsi="SimSun" w:cs="SimSun" w:hint="eastAsia"/>
                <w:lang w:val="en-US"/>
              </w:rPr>
              <w:t>90%</w:t>
            </w:r>
            <w:r>
              <w:rPr>
                <w:rFonts w:ascii="SimSun" w:hAnsi="SimSun" w:cs="SimSun" w:hint="eastAsia"/>
              </w:rPr>
              <w:t>股权，单独控制上述</w:t>
            </w:r>
            <w:r>
              <w:rPr>
                <w:rFonts w:ascii="SimSun" w:hAnsi="SimSun" w:cs="SimSun"/>
                <w:lang w:val="en-US"/>
              </w:rPr>
              <w:t>8</w:t>
            </w:r>
            <w:r>
              <w:rPr>
                <w:rFonts w:ascii="SimSun" w:hAnsi="SimSun" w:cs="SimSun" w:hint="eastAsia"/>
              </w:rPr>
              <w:t>家目标公司。</w:t>
            </w:r>
          </w:p>
        </w:tc>
      </w:tr>
      <w:tr w:rsidR="008743E2" w14:paraId="0605F0F2" w14:textId="77777777">
        <w:trPr>
          <w:trHeight w:val="942"/>
        </w:trPr>
        <w:tc>
          <w:tcPr>
            <w:tcW w:w="1940" w:type="dxa"/>
            <w:vMerge w:val="restart"/>
            <w:shd w:val="clear" w:color="auto" w:fill="D9D9D9"/>
            <w:vAlign w:val="center"/>
          </w:tcPr>
          <w:p w14:paraId="1ECFC589"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eastAsia="zh-CN"/>
              </w:rPr>
              <w:t>参与集中的经营者简介（每个限</w:t>
            </w:r>
            <w:r>
              <w:rPr>
                <w:rFonts w:ascii="SimSun" w:hAnsi="SimSun" w:cs="SimSun" w:hint="eastAsia"/>
                <w:bCs/>
                <w:color w:val="000000"/>
                <w:lang w:val="en-US" w:eastAsia="zh-CN"/>
              </w:rPr>
              <w:t>100字以内</w:t>
            </w:r>
            <w:r>
              <w:rPr>
                <w:rFonts w:ascii="SimSun" w:hAnsi="SimSun" w:cs="SimSun" w:hint="eastAsia"/>
                <w:bCs/>
                <w:color w:val="000000"/>
                <w:lang w:eastAsia="zh-CN"/>
              </w:rPr>
              <w:t>）</w:t>
            </w:r>
          </w:p>
        </w:tc>
        <w:tc>
          <w:tcPr>
            <w:tcW w:w="1917" w:type="dxa"/>
            <w:vAlign w:val="center"/>
          </w:tcPr>
          <w:p w14:paraId="23D9D816" w14:textId="77777777" w:rsidR="008743E2" w:rsidRDefault="00166028">
            <w:pPr>
              <w:pStyle w:val="BodyText"/>
              <w:adjustRightInd w:val="0"/>
              <w:snapToGrid w:val="0"/>
              <w:spacing w:after="0"/>
              <w:rPr>
                <w:rFonts w:ascii="SimSun" w:hAnsi="SimSun" w:cs="SimSun"/>
                <w:bCs/>
                <w:color w:val="000000"/>
                <w:lang w:eastAsia="zh-CN"/>
              </w:rPr>
            </w:pPr>
            <w:r>
              <w:rPr>
                <w:rFonts w:ascii="SimSun" w:hAnsi="SimSun" w:cs="SimSun" w:hint="eastAsia"/>
                <w:bCs/>
                <w:color w:val="000000"/>
                <w:lang w:val="en-US" w:eastAsia="zh-CN"/>
              </w:rPr>
              <w:t>1.</w:t>
            </w:r>
            <w:r>
              <w:rPr>
                <w:rFonts w:ascii="SimSun" w:hAnsi="SimSun" w:cs="SimSun" w:hint="eastAsia"/>
                <w:lang w:eastAsia="zh-CN"/>
              </w:rPr>
              <w:t xml:space="preserve"> 云健康</w:t>
            </w:r>
          </w:p>
        </w:tc>
        <w:tc>
          <w:tcPr>
            <w:tcW w:w="5783" w:type="dxa"/>
            <w:vAlign w:val="center"/>
          </w:tcPr>
          <w:p w14:paraId="77438A1F" w14:textId="77777777" w:rsidR="008743E2" w:rsidRDefault="00166028">
            <w:pPr>
              <w:widowControl w:val="0"/>
              <w:adjustRightInd w:val="0"/>
              <w:snapToGrid w:val="0"/>
              <w:spacing w:after="0"/>
              <w:rPr>
                <w:rFonts w:ascii="SimSun" w:hAnsi="SimSun" w:cs="SimSun"/>
                <w:lang w:val="en-US"/>
              </w:rPr>
            </w:pPr>
            <w:r>
              <w:rPr>
                <w:rFonts w:ascii="SimSun" w:hAnsi="SimSun" w:cs="SimSun" w:hint="eastAsia"/>
              </w:rPr>
              <w:t>云健康</w:t>
            </w:r>
            <w:r>
              <w:rPr>
                <w:rFonts w:ascii="SimSun" w:hAnsi="SimSun" w:cs="SimSun" w:hint="eastAsia"/>
                <w:lang w:val="en-US"/>
              </w:rPr>
              <w:t>于2015年3月18日在上海市成立，主要在中国境内从事药品零售业务，在上海和广东部分区域从事药品批发业务，以及为医药工业和保险公司提供部分医药服务业务。</w:t>
            </w:r>
          </w:p>
          <w:p w14:paraId="7516C80F" w14:textId="77777777" w:rsidR="008743E2" w:rsidRDefault="00166028">
            <w:pPr>
              <w:widowControl w:val="0"/>
              <w:adjustRightInd w:val="0"/>
              <w:snapToGrid w:val="0"/>
              <w:spacing w:after="0"/>
              <w:rPr>
                <w:rFonts w:ascii="SimSun" w:hAnsi="SimSun" w:cs="SimSun"/>
                <w:lang w:val="en-US"/>
              </w:rPr>
            </w:pPr>
            <w:r>
              <w:rPr>
                <w:rFonts w:ascii="SimSun" w:hAnsi="SimSun" w:cs="SimSun" w:hint="eastAsia"/>
              </w:rPr>
              <w:t>云健康无最终控制人。</w:t>
            </w:r>
          </w:p>
        </w:tc>
      </w:tr>
      <w:tr w:rsidR="008743E2" w14:paraId="39A02E40" w14:textId="77777777">
        <w:trPr>
          <w:trHeight w:val="1693"/>
        </w:trPr>
        <w:tc>
          <w:tcPr>
            <w:tcW w:w="1940" w:type="dxa"/>
            <w:vMerge/>
            <w:shd w:val="clear" w:color="auto" w:fill="D9D9D9"/>
            <w:vAlign w:val="center"/>
          </w:tcPr>
          <w:p w14:paraId="2CF93361"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6F34E44E" w14:textId="77777777" w:rsidR="008743E2" w:rsidRDefault="00166028">
            <w:pPr>
              <w:pStyle w:val="BodyText"/>
              <w:numPr>
                <w:ilvl w:val="0"/>
                <w:numId w:val="4"/>
              </w:numPr>
              <w:adjustRightInd w:val="0"/>
              <w:snapToGrid w:val="0"/>
              <w:spacing w:after="0"/>
              <w:rPr>
                <w:rFonts w:ascii="SimSun" w:hAnsi="SimSun" w:cs="SimSun"/>
                <w:bCs/>
                <w:color w:val="000000"/>
                <w:lang w:eastAsia="zh-CN"/>
              </w:rPr>
            </w:pPr>
            <w:r>
              <w:rPr>
                <w:rFonts w:ascii="SimSun" w:hAnsi="SimSun" w:cs="SimSun" w:hint="eastAsia"/>
                <w:bCs/>
                <w:color w:val="000000"/>
                <w:lang w:eastAsia="zh-CN"/>
              </w:rPr>
              <w:t>武汉科海园</w:t>
            </w:r>
          </w:p>
        </w:tc>
        <w:tc>
          <w:tcPr>
            <w:tcW w:w="5783" w:type="dxa"/>
            <w:vAlign w:val="center"/>
          </w:tcPr>
          <w:p w14:paraId="5B277CE5"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rPr>
              <w:t>武汉科海园</w:t>
            </w:r>
            <w:r>
              <w:rPr>
                <w:rFonts w:ascii="SimSun" w:hAnsi="SimSun" w:cs="SimSun" w:hint="eastAsia"/>
                <w:bCs/>
                <w:color w:val="000000"/>
                <w:lang w:val="en-US"/>
              </w:rPr>
              <w:t>于2011年5月9日成立于湖北省武汉市，主要业务为药品零售。</w:t>
            </w:r>
          </w:p>
          <w:p w14:paraId="14EF4113"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rPr>
              <w:t>武汉科海园</w:t>
            </w:r>
            <w:r>
              <w:rPr>
                <w:rFonts w:ascii="SimSun" w:hAnsi="SimSun" w:cs="SimSun" w:hint="eastAsia"/>
                <w:bCs/>
                <w:color w:val="000000"/>
                <w:lang w:val="en-US"/>
              </w:rPr>
              <w:t>的最终控制人为上海医药集团，主要在全球范围从事药品批发和药品零售业务，同时从事药品工业制造业务。</w:t>
            </w:r>
          </w:p>
        </w:tc>
      </w:tr>
      <w:tr w:rsidR="008743E2" w14:paraId="77EA7CB9" w14:textId="77777777">
        <w:trPr>
          <w:trHeight w:val="1693"/>
        </w:trPr>
        <w:tc>
          <w:tcPr>
            <w:tcW w:w="1940" w:type="dxa"/>
            <w:vMerge/>
            <w:shd w:val="clear" w:color="auto" w:fill="D9D9D9"/>
            <w:vAlign w:val="center"/>
          </w:tcPr>
          <w:p w14:paraId="511B1781"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176189EE"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eastAsia="zh-CN"/>
              </w:rPr>
              <w:t>上药宁波大药房</w:t>
            </w:r>
          </w:p>
        </w:tc>
        <w:tc>
          <w:tcPr>
            <w:tcW w:w="5783" w:type="dxa"/>
            <w:vAlign w:val="center"/>
          </w:tcPr>
          <w:p w14:paraId="13F52FAD"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rPr>
              <w:t>上药宁波大药房</w:t>
            </w:r>
            <w:r>
              <w:rPr>
                <w:rFonts w:ascii="SimSun" w:hAnsi="SimSun" w:cs="SimSun" w:hint="eastAsia"/>
                <w:bCs/>
                <w:color w:val="000000"/>
                <w:lang w:val="en-US"/>
              </w:rPr>
              <w:t>于2020年8月14日成立于浙江省宁波市，主要业务为药品零售。</w:t>
            </w:r>
          </w:p>
          <w:p w14:paraId="4032CCE0"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rPr>
              <w:t>上药宁波大药房</w:t>
            </w:r>
            <w:r>
              <w:rPr>
                <w:rFonts w:ascii="SimSun" w:hAnsi="SimSun" w:cs="SimSun" w:hint="eastAsia"/>
                <w:bCs/>
                <w:color w:val="000000"/>
                <w:lang w:val="en-US"/>
              </w:rPr>
              <w:t>的最终控制人为上海医药集团，主要在全球范围从事药品批发和药品零售业务，同时从事药品工业制造业务。</w:t>
            </w:r>
          </w:p>
        </w:tc>
      </w:tr>
      <w:tr w:rsidR="008743E2" w14:paraId="581BFA51" w14:textId="77777777">
        <w:trPr>
          <w:trHeight w:val="1693"/>
        </w:trPr>
        <w:tc>
          <w:tcPr>
            <w:tcW w:w="1940" w:type="dxa"/>
            <w:vMerge/>
            <w:shd w:val="clear" w:color="auto" w:fill="D9D9D9"/>
            <w:vAlign w:val="center"/>
          </w:tcPr>
          <w:p w14:paraId="79BFACC1"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49536984"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海曙新芝</w:t>
            </w:r>
          </w:p>
        </w:tc>
        <w:tc>
          <w:tcPr>
            <w:tcW w:w="5783" w:type="dxa"/>
            <w:vAlign w:val="center"/>
          </w:tcPr>
          <w:p w14:paraId="2003BB1B"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海曙新芝于2005年11月15日成立于浙江省宁波市，主要业务为药品零售。</w:t>
            </w:r>
          </w:p>
          <w:p w14:paraId="4A2DBF98"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海曙新芝的最终控制人为上海医药集团，主要在全球范围从事药品批发和药品零售业务，同时从事药品工业制造业务。</w:t>
            </w:r>
          </w:p>
        </w:tc>
      </w:tr>
      <w:tr w:rsidR="008743E2" w14:paraId="4F8AC10E" w14:textId="77777777">
        <w:trPr>
          <w:trHeight w:val="1693"/>
        </w:trPr>
        <w:tc>
          <w:tcPr>
            <w:tcW w:w="1940" w:type="dxa"/>
            <w:vMerge/>
            <w:shd w:val="clear" w:color="auto" w:fill="D9D9D9"/>
            <w:vAlign w:val="center"/>
          </w:tcPr>
          <w:p w14:paraId="445ED5EF"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054209DE"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海曙益友</w:t>
            </w:r>
          </w:p>
        </w:tc>
        <w:tc>
          <w:tcPr>
            <w:tcW w:w="5783" w:type="dxa"/>
            <w:vAlign w:val="center"/>
          </w:tcPr>
          <w:p w14:paraId="51814D88"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海曙益友于2011年3月4日成立于浙江省宁波市，主要业务为药品零售。</w:t>
            </w:r>
          </w:p>
          <w:p w14:paraId="688849F9"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海曙益友的最终控制人为上海医药集团，主要在全球范围从事药品批发和药品零售业务，同时从事药品工业制造业务。</w:t>
            </w:r>
          </w:p>
        </w:tc>
      </w:tr>
      <w:tr w:rsidR="008743E2" w14:paraId="51CFFF31" w14:textId="77777777">
        <w:trPr>
          <w:trHeight w:val="1693"/>
        </w:trPr>
        <w:tc>
          <w:tcPr>
            <w:tcW w:w="1940" w:type="dxa"/>
            <w:vMerge/>
            <w:shd w:val="clear" w:color="auto" w:fill="D9D9D9"/>
            <w:vAlign w:val="center"/>
          </w:tcPr>
          <w:p w14:paraId="191D09A2"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0A0753A3"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宁波惠宁</w:t>
            </w:r>
          </w:p>
        </w:tc>
        <w:tc>
          <w:tcPr>
            <w:tcW w:w="5783" w:type="dxa"/>
            <w:vAlign w:val="center"/>
          </w:tcPr>
          <w:p w14:paraId="56204824"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宁波惠宁于2013年6月26日成立于浙江省宁波市，主要业务为药品零售。</w:t>
            </w:r>
          </w:p>
          <w:p w14:paraId="2F7C6233"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宁波惠宁的最终控制人为上海医药集团，主要在全球范围从事药品批发和药品零售业务，同时从事药品工业制造业务。</w:t>
            </w:r>
          </w:p>
        </w:tc>
      </w:tr>
      <w:tr w:rsidR="008743E2" w14:paraId="5493BB77" w14:textId="77777777">
        <w:trPr>
          <w:trHeight w:val="1693"/>
        </w:trPr>
        <w:tc>
          <w:tcPr>
            <w:tcW w:w="1940" w:type="dxa"/>
            <w:vMerge/>
            <w:shd w:val="clear" w:color="auto" w:fill="D9D9D9"/>
            <w:vAlign w:val="center"/>
          </w:tcPr>
          <w:p w14:paraId="337DCB46"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7BEC196A"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宁波利东</w:t>
            </w:r>
          </w:p>
        </w:tc>
        <w:tc>
          <w:tcPr>
            <w:tcW w:w="5783" w:type="dxa"/>
            <w:vAlign w:val="center"/>
          </w:tcPr>
          <w:p w14:paraId="2B97E14F"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宁波利东于2017年3月15日成立于浙江省宁波市，主要业务为药品零售。</w:t>
            </w:r>
          </w:p>
          <w:p w14:paraId="7CAB5974"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宁波利东的最终控制人为上海医药集团，主要在全球范围从事药品批发和药品零售业务，同时从事药品工业制造业务。</w:t>
            </w:r>
          </w:p>
        </w:tc>
      </w:tr>
      <w:tr w:rsidR="008743E2" w14:paraId="35CE3FF0" w14:textId="77777777">
        <w:trPr>
          <w:trHeight w:val="1693"/>
        </w:trPr>
        <w:tc>
          <w:tcPr>
            <w:tcW w:w="1940" w:type="dxa"/>
            <w:vMerge/>
            <w:shd w:val="clear" w:color="auto" w:fill="D9D9D9"/>
            <w:vAlign w:val="center"/>
          </w:tcPr>
          <w:p w14:paraId="428B95AD"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7FF9F8B1"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宁波柳汀</w:t>
            </w:r>
          </w:p>
        </w:tc>
        <w:tc>
          <w:tcPr>
            <w:tcW w:w="5783" w:type="dxa"/>
            <w:vAlign w:val="center"/>
          </w:tcPr>
          <w:p w14:paraId="33C69F41"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宁波柳汀于2016年6月17日成立于浙江省宁波市，主要业务为药品零售。</w:t>
            </w:r>
          </w:p>
          <w:p w14:paraId="65D84B51"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宁波柳汀的最终控制人为上海医药集团，主要在全球范围从事药品批发和药品零售业务，同时从事药品工业制造业务。</w:t>
            </w:r>
          </w:p>
        </w:tc>
      </w:tr>
      <w:tr w:rsidR="008743E2" w14:paraId="37567E60" w14:textId="77777777">
        <w:trPr>
          <w:trHeight w:val="1693"/>
        </w:trPr>
        <w:tc>
          <w:tcPr>
            <w:tcW w:w="1940" w:type="dxa"/>
            <w:vMerge/>
            <w:shd w:val="clear" w:color="auto" w:fill="D9D9D9"/>
            <w:vAlign w:val="center"/>
          </w:tcPr>
          <w:p w14:paraId="4477A80A" w14:textId="77777777" w:rsidR="008743E2" w:rsidRDefault="008743E2">
            <w:pPr>
              <w:pStyle w:val="BodyText"/>
              <w:adjustRightInd w:val="0"/>
              <w:snapToGrid w:val="0"/>
              <w:spacing w:after="0"/>
              <w:rPr>
                <w:rFonts w:ascii="SimSun" w:hAnsi="SimSun" w:cs="SimSun"/>
                <w:bCs/>
                <w:color w:val="000000"/>
                <w:lang w:val="en-US" w:eastAsia="zh-CN"/>
              </w:rPr>
            </w:pPr>
          </w:p>
        </w:tc>
        <w:tc>
          <w:tcPr>
            <w:tcW w:w="1917" w:type="dxa"/>
            <w:vAlign w:val="center"/>
          </w:tcPr>
          <w:p w14:paraId="3D7656E8" w14:textId="77777777" w:rsidR="008743E2" w:rsidRDefault="00166028">
            <w:pPr>
              <w:pStyle w:val="BodyText"/>
              <w:numPr>
                <w:ilvl w:val="0"/>
                <w:numId w:val="4"/>
              </w:numPr>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宁波银苑</w:t>
            </w:r>
          </w:p>
        </w:tc>
        <w:tc>
          <w:tcPr>
            <w:tcW w:w="5783" w:type="dxa"/>
            <w:vAlign w:val="center"/>
          </w:tcPr>
          <w:p w14:paraId="7FF0E2DC"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宁波银苑于2015年12月4日成立于浙江省宁波市，主要业务为药品零售。</w:t>
            </w:r>
          </w:p>
          <w:p w14:paraId="573C174B" w14:textId="77777777" w:rsidR="008743E2" w:rsidRDefault="00166028">
            <w:pPr>
              <w:widowControl w:val="0"/>
              <w:adjustRightInd w:val="0"/>
              <w:snapToGrid w:val="0"/>
              <w:spacing w:after="0"/>
              <w:rPr>
                <w:rFonts w:ascii="SimSun" w:hAnsi="SimSun" w:cs="SimSun"/>
                <w:bCs/>
                <w:color w:val="000000"/>
                <w:lang w:val="en-US"/>
              </w:rPr>
            </w:pPr>
            <w:r>
              <w:rPr>
                <w:rFonts w:ascii="SimSun" w:hAnsi="SimSun" w:cs="SimSun" w:hint="eastAsia"/>
                <w:bCs/>
                <w:color w:val="000000"/>
                <w:lang w:val="en-US"/>
              </w:rPr>
              <w:t>宁波银苑的最终控制人为上海医药集团，主要在全球范围从事药品批发和药品零售业务，同时从事药品工业制造业务。</w:t>
            </w:r>
          </w:p>
        </w:tc>
      </w:tr>
      <w:tr w:rsidR="008743E2" w14:paraId="21040749" w14:textId="77777777">
        <w:trPr>
          <w:trHeight w:val="279"/>
        </w:trPr>
        <w:tc>
          <w:tcPr>
            <w:tcW w:w="1940" w:type="dxa"/>
            <w:vMerge w:val="restart"/>
            <w:shd w:val="clear" w:color="auto" w:fill="D9D9D9"/>
            <w:vAlign w:val="center"/>
          </w:tcPr>
          <w:p w14:paraId="0C3AF275"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eastAsia="zh-CN"/>
              </w:rPr>
              <w:t>简易案件理由（可以单选，也可以多选）</w:t>
            </w:r>
          </w:p>
        </w:tc>
        <w:tc>
          <w:tcPr>
            <w:tcW w:w="7700" w:type="dxa"/>
            <w:gridSpan w:val="2"/>
            <w:vAlign w:val="center"/>
          </w:tcPr>
          <w:p w14:paraId="4C743437"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lang w:eastAsia="zh-CN"/>
                </w:rPr>
                <w:id w:val="263040633"/>
                <w14:checkbox>
                  <w14:checked w14:val="1"/>
                  <w14:checkedState w14:val="0052" w14:font="Wingdings 2"/>
                  <w14:uncheckedState w14:val="2610" w14:font="MS Gothic"/>
                </w14:checkbox>
              </w:sdtPr>
              <w:sdtEndPr/>
              <w:sdtContent>
                <w:r w:rsidR="00166028">
                  <w:rPr>
                    <w:rFonts w:ascii="SimSun" w:hAnsi="SimSun" w:cs="SimSun" w:hint="eastAsia"/>
                    <w:lang w:eastAsia="zh-CN"/>
                  </w:rPr>
                  <w:sym w:font="Wingdings 2" w:char="F052"/>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1、在同一相关市场，所有参与集中的经营者所占市场份额之和小于15%。</w:t>
            </w:r>
          </w:p>
        </w:tc>
      </w:tr>
      <w:tr w:rsidR="008743E2" w14:paraId="76AF25B9" w14:textId="77777777">
        <w:trPr>
          <w:trHeight w:val="330"/>
        </w:trPr>
        <w:tc>
          <w:tcPr>
            <w:tcW w:w="1940" w:type="dxa"/>
            <w:vMerge/>
            <w:shd w:val="clear" w:color="auto" w:fill="D9D9D9"/>
            <w:vAlign w:val="center"/>
          </w:tcPr>
          <w:p w14:paraId="3298452D" w14:textId="77777777" w:rsidR="008743E2" w:rsidRDefault="008743E2">
            <w:pPr>
              <w:pStyle w:val="BodyText"/>
              <w:adjustRightInd w:val="0"/>
              <w:snapToGrid w:val="0"/>
              <w:spacing w:after="0"/>
              <w:rPr>
                <w:rFonts w:ascii="SimSun" w:hAnsi="SimSun" w:cs="SimSun"/>
                <w:bCs/>
                <w:color w:val="000000"/>
                <w:lang w:val="en-US" w:eastAsia="zh-CN"/>
              </w:rPr>
            </w:pPr>
          </w:p>
        </w:tc>
        <w:tc>
          <w:tcPr>
            <w:tcW w:w="7700" w:type="dxa"/>
            <w:gridSpan w:val="2"/>
            <w:vAlign w:val="center"/>
          </w:tcPr>
          <w:p w14:paraId="16A29808"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rPr>
                <w:id w:val="1251311233"/>
                <w14:checkbox>
                  <w14:checked w14:val="1"/>
                  <w14:checkedState w14:val="0052" w14:font="Wingdings 2"/>
                  <w14:uncheckedState w14:val="2610" w14:font="MS Gothic"/>
                </w14:checkbox>
              </w:sdtPr>
              <w:sdtEndPr/>
              <w:sdtContent>
                <w:r w:rsidR="00166028">
                  <w:rPr>
                    <w:rFonts w:ascii="SimSun" w:hAnsi="SimSun" w:cs="SimSun" w:hint="eastAsia"/>
                  </w:rPr>
                  <w:sym w:font="Wingdings 2" w:char="F052"/>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2、存在上下游关系的参与集中的经营者，在上下游市场所占的市场份额均小于25%。</w:t>
            </w:r>
          </w:p>
        </w:tc>
      </w:tr>
      <w:tr w:rsidR="008743E2" w14:paraId="5D521762" w14:textId="77777777">
        <w:trPr>
          <w:trHeight w:val="285"/>
        </w:trPr>
        <w:tc>
          <w:tcPr>
            <w:tcW w:w="1940" w:type="dxa"/>
            <w:vMerge/>
            <w:shd w:val="clear" w:color="auto" w:fill="D9D9D9"/>
            <w:vAlign w:val="center"/>
          </w:tcPr>
          <w:p w14:paraId="38471A9A" w14:textId="77777777" w:rsidR="008743E2" w:rsidRDefault="008743E2">
            <w:pPr>
              <w:pStyle w:val="BodyText"/>
              <w:adjustRightInd w:val="0"/>
              <w:snapToGrid w:val="0"/>
              <w:spacing w:after="0"/>
              <w:rPr>
                <w:rFonts w:ascii="SimSun" w:hAnsi="SimSun" w:cs="SimSun"/>
                <w:bCs/>
                <w:color w:val="000000"/>
                <w:lang w:val="en-US" w:eastAsia="zh-CN"/>
              </w:rPr>
            </w:pPr>
          </w:p>
        </w:tc>
        <w:tc>
          <w:tcPr>
            <w:tcW w:w="7700" w:type="dxa"/>
            <w:gridSpan w:val="2"/>
            <w:vAlign w:val="center"/>
          </w:tcPr>
          <w:p w14:paraId="1AD44B1B"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lang w:eastAsia="zh-CN"/>
                </w:rPr>
                <w:id w:val="-208348084"/>
                <w14:checkbox>
                  <w14:checked w14:val="0"/>
                  <w14:checkedState w14:val="0052" w14:font="Wingdings 2"/>
                  <w14:uncheckedState w14:val="2610" w14:font="MS Gothic"/>
                </w14:checkbox>
              </w:sdtPr>
              <w:sdtEndPr/>
              <w:sdtContent>
                <w:r w:rsidR="00166028">
                  <w:rPr>
                    <w:rFonts w:ascii="SimSun" w:hAnsi="SimSun" w:cs="SimSun" w:hint="eastAsia"/>
                    <w:lang w:eastAsia="zh-CN"/>
                  </w:rPr>
                  <w:t>☐</w:t>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3、不在同一相关市场、也不存在上下游关系的参与集中的经营者，在与交易有关的每个市场所占的份额均小于25%。</w:t>
            </w:r>
          </w:p>
        </w:tc>
      </w:tr>
      <w:tr w:rsidR="008743E2" w14:paraId="0A782EF5" w14:textId="77777777">
        <w:trPr>
          <w:trHeight w:val="870"/>
        </w:trPr>
        <w:tc>
          <w:tcPr>
            <w:tcW w:w="1940" w:type="dxa"/>
            <w:vMerge/>
            <w:shd w:val="clear" w:color="auto" w:fill="D9D9D9"/>
            <w:vAlign w:val="center"/>
          </w:tcPr>
          <w:p w14:paraId="3157FCDE" w14:textId="77777777" w:rsidR="008743E2" w:rsidRDefault="008743E2">
            <w:pPr>
              <w:pStyle w:val="BodyText"/>
              <w:adjustRightInd w:val="0"/>
              <w:snapToGrid w:val="0"/>
              <w:spacing w:after="0"/>
              <w:rPr>
                <w:rFonts w:ascii="SimSun" w:hAnsi="SimSun" w:cs="SimSun"/>
                <w:bCs/>
                <w:color w:val="000000"/>
                <w:lang w:val="en-US" w:eastAsia="zh-CN"/>
              </w:rPr>
            </w:pPr>
          </w:p>
        </w:tc>
        <w:tc>
          <w:tcPr>
            <w:tcW w:w="7700" w:type="dxa"/>
            <w:gridSpan w:val="2"/>
            <w:vAlign w:val="center"/>
          </w:tcPr>
          <w:p w14:paraId="178CAA91"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lang w:eastAsia="zh-CN"/>
                </w:rPr>
                <w:id w:val="1551034363"/>
                <w14:checkbox>
                  <w14:checked w14:val="0"/>
                  <w14:checkedState w14:val="0052" w14:font="Wingdings 2"/>
                  <w14:uncheckedState w14:val="2610" w14:font="MS Gothic"/>
                </w14:checkbox>
              </w:sdtPr>
              <w:sdtEndPr/>
              <w:sdtContent>
                <w:r w:rsidR="00166028">
                  <w:rPr>
                    <w:rFonts w:ascii="SimSun" w:hAnsi="SimSun" w:cs="SimSun" w:hint="eastAsia"/>
                    <w:lang w:eastAsia="zh-CN"/>
                  </w:rPr>
                  <w:t>☐</w:t>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4、参与集中的经营者在中国境外设立合营企业，合营企业不在中国境内从事经济活动。</w:t>
            </w:r>
          </w:p>
        </w:tc>
      </w:tr>
      <w:tr w:rsidR="008743E2" w14:paraId="3F84A11E" w14:textId="77777777">
        <w:trPr>
          <w:trHeight w:val="264"/>
        </w:trPr>
        <w:tc>
          <w:tcPr>
            <w:tcW w:w="1940" w:type="dxa"/>
            <w:vMerge/>
            <w:shd w:val="clear" w:color="auto" w:fill="D9D9D9"/>
            <w:vAlign w:val="center"/>
          </w:tcPr>
          <w:p w14:paraId="3FAE1BE9" w14:textId="77777777" w:rsidR="008743E2" w:rsidRDefault="008743E2">
            <w:pPr>
              <w:pStyle w:val="BodyText"/>
              <w:adjustRightInd w:val="0"/>
              <w:snapToGrid w:val="0"/>
              <w:spacing w:after="0"/>
              <w:rPr>
                <w:rFonts w:ascii="SimSun" w:hAnsi="SimSun" w:cs="SimSun"/>
                <w:bCs/>
                <w:color w:val="000000"/>
                <w:lang w:val="en-US" w:eastAsia="zh-CN"/>
              </w:rPr>
            </w:pPr>
          </w:p>
        </w:tc>
        <w:tc>
          <w:tcPr>
            <w:tcW w:w="7700" w:type="dxa"/>
            <w:gridSpan w:val="2"/>
            <w:vAlign w:val="center"/>
          </w:tcPr>
          <w:p w14:paraId="1571883F"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lang w:eastAsia="zh-CN"/>
                </w:rPr>
                <w:id w:val="-952322303"/>
                <w14:checkbox>
                  <w14:checked w14:val="0"/>
                  <w14:checkedState w14:val="0052" w14:font="Wingdings 2"/>
                  <w14:uncheckedState w14:val="2610" w14:font="MS Gothic"/>
                </w14:checkbox>
              </w:sdtPr>
              <w:sdtEndPr/>
              <w:sdtContent>
                <w:r w:rsidR="00166028">
                  <w:rPr>
                    <w:rFonts w:ascii="SimSun" w:hAnsi="SimSun" w:cs="SimSun" w:hint="eastAsia"/>
                    <w:lang w:eastAsia="zh-CN"/>
                  </w:rPr>
                  <w:t>☐</w:t>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5、参与集中的经营者收购境外企业股权或资产的，该境外企业不在中国境内从事经济活动。</w:t>
            </w:r>
          </w:p>
        </w:tc>
      </w:tr>
      <w:tr w:rsidR="008743E2" w14:paraId="3FA66995" w14:textId="77777777">
        <w:trPr>
          <w:trHeight w:val="345"/>
        </w:trPr>
        <w:tc>
          <w:tcPr>
            <w:tcW w:w="1940" w:type="dxa"/>
            <w:vMerge/>
            <w:shd w:val="clear" w:color="auto" w:fill="D9D9D9"/>
            <w:vAlign w:val="center"/>
          </w:tcPr>
          <w:p w14:paraId="5E25D9A2" w14:textId="77777777" w:rsidR="008743E2" w:rsidRDefault="008743E2">
            <w:pPr>
              <w:pStyle w:val="BodyText"/>
              <w:adjustRightInd w:val="0"/>
              <w:snapToGrid w:val="0"/>
              <w:spacing w:after="0"/>
              <w:rPr>
                <w:rFonts w:ascii="SimSun" w:hAnsi="SimSun" w:cs="SimSun"/>
                <w:bCs/>
                <w:color w:val="000000"/>
                <w:lang w:val="en-US" w:eastAsia="zh-CN"/>
              </w:rPr>
            </w:pPr>
          </w:p>
        </w:tc>
        <w:tc>
          <w:tcPr>
            <w:tcW w:w="7700" w:type="dxa"/>
            <w:gridSpan w:val="2"/>
            <w:vAlign w:val="center"/>
          </w:tcPr>
          <w:p w14:paraId="6D1AFE9B" w14:textId="77777777" w:rsidR="008743E2" w:rsidRDefault="00A47F3C">
            <w:pPr>
              <w:pStyle w:val="BodyText"/>
              <w:adjustRightInd w:val="0"/>
              <w:snapToGrid w:val="0"/>
              <w:spacing w:after="0"/>
              <w:rPr>
                <w:rFonts w:ascii="SimSun" w:hAnsi="SimSun" w:cs="SimSun"/>
                <w:bCs/>
                <w:color w:val="000000"/>
                <w:lang w:val="en-US" w:eastAsia="zh-CN"/>
              </w:rPr>
            </w:pPr>
            <w:sdt>
              <w:sdtPr>
                <w:rPr>
                  <w:rFonts w:ascii="SimSun" w:hAnsi="SimSun" w:cs="SimSun" w:hint="eastAsia"/>
                  <w:lang w:eastAsia="zh-CN"/>
                </w:rPr>
                <w:id w:val="1798338616"/>
                <w14:checkbox>
                  <w14:checked w14:val="0"/>
                  <w14:checkedState w14:val="0052" w14:font="Wingdings 2"/>
                  <w14:uncheckedState w14:val="2610" w14:font="MS Gothic"/>
                </w14:checkbox>
              </w:sdtPr>
              <w:sdtEndPr/>
              <w:sdtContent>
                <w:r w:rsidR="00166028">
                  <w:rPr>
                    <w:rFonts w:ascii="SimSun" w:hAnsi="SimSun" w:cs="SimSun" w:hint="eastAsia"/>
                    <w:lang w:eastAsia="zh-CN"/>
                  </w:rPr>
                  <w:t>☐</w:t>
                </w:r>
              </w:sdtContent>
            </w:sdt>
            <w:r w:rsidR="00166028">
              <w:rPr>
                <w:rFonts w:ascii="SimSun" w:hAnsi="SimSun" w:cs="SimSun" w:hint="eastAsia"/>
                <w:lang w:eastAsia="zh-CN"/>
              </w:rPr>
              <w:t xml:space="preserve"> </w:t>
            </w:r>
            <w:r w:rsidR="00166028">
              <w:rPr>
                <w:rFonts w:ascii="SimSun" w:hAnsi="SimSun" w:cs="SimSun" w:hint="eastAsia"/>
                <w:bCs/>
                <w:color w:val="000000"/>
                <w:lang w:eastAsia="zh-CN"/>
              </w:rPr>
              <w:t>6、由两个以上的经营者共同控制的合营企业，通过集中被其中一个或一个以上经营者控制。</w:t>
            </w:r>
          </w:p>
        </w:tc>
      </w:tr>
      <w:tr w:rsidR="008743E2" w14:paraId="6813D160" w14:textId="77777777">
        <w:trPr>
          <w:trHeight w:val="7596"/>
        </w:trPr>
        <w:tc>
          <w:tcPr>
            <w:tcW w:w="1940" w:type="dxa"/>
            <w:shd w:val="clear" w:color="auto" w:fill="D9D9D9"/>
            <w:vAlign w:val="center"/>
          </w:tcPr>
          <w:p w14:paraId="6E2D5AE8"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lastRenderedPageBreak/>
              <w:t>备注</w:t>
            </w:r>
          </w:p>
        </w:tc>
        <w:tc>
          <w:tcPr>
            <w:tcW w:w="7700" w:type="dxa"/>
            <w:gridSpan w:val="2"/>
            <w:vAlign w:val="center"/>
          </w:tcPr>
          <w:p w14:paraId="5D05780E" w14:textId="77777777" w:rsidR="008743E2" w:rsidRDefault="00166028">
            <w:pPr>
              <w:pStyle w:val="BodyText"/>
              <w:adjustRightInd w:val="0"/>
              <w:snapToGrid w:val="0"/>
              <w:spacing w:after="0"/>
              <w:rPr>
                <w:rFonts w:ascii="SimSun" w:hAnsi="SimSun" w:cs="SimSun"/>
                <w:b/>
                <w:color w:val="000000"/>
                <w:lang w:val="en-US" w:eastAsia="zh-CN"/>
              </w:rPr>
            </w:pPr>
            <w:r>
              <w:rPr>
                <w:rFonts w:ascii="SimSun" w:hAnsi="SimSun" w:cs="SimSun" w:hint="eastAsia"/>
                <w:b/>
                <w:color w:val="000000"/>
                <w:lang w:val="en-US" w:eastAsia="zh-CN"/>
              </w:rPr>
              <w:t>横向重叠：</w:t>
            </w:r>
          </w:p>
          <w:tbl>
            <w:tblPr>
              <w:tblStyle w:val="TableGrid"/>
              <w:tblW w:w="0" w:type="auto"/>
              <w:tblLayout w:type="fixed"/>
              <w:tblLook w:val="04A0" w:firstRow="1" w:lastRow="0" w:firstColumn="1" w:lastColumn="0" w:noHBand="0" w:noVBand="1"/>
            </w:tblPr>
            <w:tblGrid>
              <w:gridCol w:w="2491"/>
              <w:gridCol w:w="2290"/>
              <w:gridCol w:w="2693"/>
            </w:tblGrid>
            <w:tr w:rsidR="008743E2" w14:paraId="7D2798AD" w14:textId="77777777">
              <w:tc>
                <w:tcPr>
                  <w:tcW w:w="2491" w:type="dxa"/>
                  <w:vAlign w:val="center"/>
                </w:tcPr>
                <w:p w14:paraId="35DBA201"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相关商品市场</w:t>
                  </w:r>
                </w:p>
              </w:tc>
              <w:tc>
                <w:tcPr>
                  <w:tcW w:w="2290" w:type="dxa"/>
                  <w:vAlign w:val="center"/>
                </w:tcPr>
                <w:p w14:paraId="45E2CFF0"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相关地域市场</w:t>
                  </w:r>
                </w:p>
              </w:tc>
              <w:tc>
                <w:tcPr>
                  <w:tcW w:w="2693" w:type="dxa"/>
                  <w:vAlign w:val="center"/>
                </w:tcPr>
                <w:p w14:paraId="29500048"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2025年市场份额</w:t>
                  </w:r>
                </w:p>
              </w:tc>
            </w:tr>
            <w:tr w:rsidR="008743E2" w14:paraId="7221CC23" w14:textId="77777777">
              <w:trPr>
                <w:trHeight w:val="972"/>
              </w:trPr>
              <w:tc>
                <w:tcPr>
                  <w:tcW w:w="2491" w:type="dxa"/>
                  <w:vAlign w:val="center"/>
                </w:tcPr>
                <w:p w14:paraId="731932D5"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药品零售市场</w:t>
                  </w:r>
                </w:p>
              </w:tc>
              <w:tc>
                <w:tcPr>
                  <w:tcW w:w="2290" w:type="dxa"/>
                  <w:vAlign w:val="center"/>
                </w:tcPr>
                <w:p w14:paraId="28C01DAD"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湖北省武汉市</w:t>
                  </w:r>
                </w:p>
              </w:tc>
              <w:tc>
                <w:tcPr>
                  <w:tcW w:w="2693" w:type="dxa"/>
                </w:tcPr>
                <w:p w14:paraId="6D3F38E8"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云健康：0-5%</w:t>
                  </w:r>
                </w:p>
                <w:p w14:paraId="2D770BED" w14:textId="42937542" w:rsidR="008743E2" w:rsidRDefault="009507CE">
                  <w:pPr>
                    <w:pStyle w:val="BodyText"/>
                    <w:adjustRightInd w:val="0"/>
                    <w:snapToGrid w:val="0"/>
                    <w:spacing w:after="0"/>
                    <w:rPr>
                      <w:rFonts w:ascii="SimSun" w:hAnsi="SimSun" w:cs="SimSun"/>
                      <w:bCs/>
                      <w:color w:val="000000"/>
                      <w:lang w:val="en-US" w:eastAsia="zh-CN"/>
                    </w:rPr>
                  </w:pPr>
                  <w:r w:rsidRPr="009507CE">
                    <w:rPr>
                      <w:rFonts w:ascii="SimSun" w:hAnsi="SimSun" w:cs="SimSun" w:hint="eastAsia"/>
                      <w:bCs/>
                      <w:color w:val="000000"/>
                      <w:lang w:val="en-US" w:eastAsia="zh-CN"/>
                    </w:rPr>
                    <w:t>武汉科海园</w:t>
                  </w:r>
                  <w:r w:rsidR="00166028">
                    <w:rPr>
                      <w:rFonts w:ascii="SimSun" w:hAnsi="SimSun" w:cs="SimSun" w:hint="eastAsia"/>
                      <w:bCs/>
                      <w:color w:val="000000"/>
                      <w:lang w:val="en-US" w:eastAsia="zh-CN"/>
                    </w:rPr>
                    <w:t>：0-5%</w:t>
                  </w:r>
                </w:p>
                <w:p w14:paraId="4B114F73"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各方合计：0-5%</w:t>
                  </w:r>
                </w:p>
              </w:tc>
            </w:tr>
          </w:tbl>
          <w:p w14:paraId="15A140FF" w14:textId="77777777" w:rsidR="008743E2" w:rsidRDefault="008743E2">
            <w:pPr>
              <w:pStyle w:val="BodyText"/>
              <w:adjustRightInd w:val="0"/>
              <w:snapToGrid w:val="0"/>
              <w:spacing w:after="0"/>
              <w:rPr>
                <w:rFonts w:ascii="SimSun" w:hAnsi="SimSun" w:cs="SimSun"/>
                <w:b/>
                <w:color w:val="000000"/>
                <w:lang w:val="en-US" w:eastAsia="zh-CN"/>
              </w:rPr>
            </w:pPr>
          </w:p>
          <w:p w14:paraId="664727DD" w14:textId="77777777" w:rsidR="008743E2" w:rsidRDefault="00166028">
            <w:pPr>
              <w:pStyle w:val="BodyText"/>
              <w:adjustRightInd w:val="0"/>
              <w:snapToGrid w:val="0"/>
              <w:spacing w:after="0"/>
              <w:rPr>
                <w:rFonts w:ascii="SimSun" w:hAnsi="SimSun" w:cs="SimSun"/>
                <w:b/>
                <w:color w:val="000000"/>
                <w:lang w:val="en-US" w:eastAsia="zh-CN"/>
              </w:rPr>
            </w:pPr>
            <w:r>
              <w:rPr>
                <w:rFonts w:ascii="SimSun" w:hAnsi="SimSun" w:cs="SimSun" w:hint="eastAsia"/>
                <w:b/>
                <w:color w:val="000000"/>
                <w:lang w:val="en-US" w:eastAsia="zh-CN"/>
              </w:rPr>
              <w:t>纵向关联：</w:t>
            </w:r>
          </w:p>
          <w:tbl>
            <w:tblPr>
              <w:tblStyle w:val="TableGrid"/>
              <w:tblW w:w="0" w:type="auto"/>
              <w:tblLayout w:type="fixed"/>
              <w:tblLook w:val="04A0" w:firstRow="1" w:lastRow="0" w:firstColumn="1" w:lastColumn="0" w:noHBand="0" w:noVBand="1"/>
            </w:tblPr>
            <w:tblGrid>
              <w:gridCol w:w="2429"/>
              <w:gridCol w:w="2495"/>
              <w:gridCol w:w="2550"/>
            </w:tblGrid>
            <w:tr w:rsidR="008743E2" w14:paraId="05A61E4F" w14:textId="77777777">
              <w:tc>
                <w:tcPr>
                  <w:tcW w:w="2429" w:type="dxa"/>
                  <w:vAlign w:val="center"/>
                </w:tcPr>
                <w:p w14:paraId="52D13016"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相关商品市场</w:t>
                  </w:r>
                </w:p>
              </w:tc>
              <w:tc>
                <w:tcPr>
                  <w:tcW w:w="2495" w:type="dxa"/>
                  <w:vAlign w:val="center"/>
                </w:tcPr>
                <w:p w14:paraId="3E2E9DED"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相关地域市场</w:t>
                  </w:r>
                </w:p>
              </w:tc>
              <w:tc>
                <w:tcPr>
                  <w:tcW w:w="2550" w:type="dxa"/>
                  <w:vAlign w:val="center"/>
                </w:tcPr>
                <w:p w14:paraId="1D6D5016"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2025年市场份额</w:t>
                  </w:r>
                </w:p>
              </w:tc>
            </w:tr>
            <w:tr w:rsidR="008743E2" w14:paraId="418B53E7" w14:textId="77777777">
              <w:tc>
                <w:tcPr>
                  <w:tcW w:w="2429" w:type="dxa"/>
                  <w:vAlign w:val="center"/>
                </w:tcPr>
                <w:p w14:paraId="50E566A9"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上游：药品批发市场</w:t>
                  </w:r>
                </w:p>
                <w:p w14:paraId="0BA03073"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下游：药品零售市场</w:t>
                  </w:r>
                </w:p>
              </w:tc>
              <w:tc>
                <w:tcPr>
                  <w:tcW w:w="2495" w:type="dxa"/>
                  <w:vAlign w:val="center"/>
                </w:tcPr>
                <w:p w14:paraId="1B6F5118"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上游：中国境内</w:t>
                  </w:r>
                </w:p>
                <w:p w14:paraId="1886CABB"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下游：</w:t>
                  </w:r>
                  <w:r>
                    <w:rPr>
                      <w:rFonts w:ascii="SimSun" w:hAnsi="SimSun" w:cs="SimSun" w:hint="eastAsia"/>
                      <w:lang w:val="en-US" w:eastAsia="zh-CN"/>
                    </w:rPr>
                    <w:t>湖北省武汉市</w:t>
                  </w:r>
                </w:p>
              </w:tc>
              <w:tc>
                <w:tcPr>
                  <w:tcW w:w="2550" w:type="dxa"/>
                  <w:vAlign w:val="center"/>
                </w:tcPr>
                <w:p w14:paraId="061C2694"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上游：中国境内药品批发市场</w:t>
                  </w:r>
                </w:p>
                <w:p w14:paraId="0100A98D"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云健康：0-5%</w:t>
                  </w:r>
                </w:p>
                <w:p w14:paraId="11753907"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下游：</w:t>
                  </w:r>
                  <w:r>
                    <w:rPr>
                      <w:rFonts w:ascii="SimSun" w:hAnsi="SimSun" w:cs="SimSun" w:hint="eastAsia"/>
                      <w:lang w:val="en-US" w:eastAsia="zh-CN"/>
                    </w:rPr>
                    <w:t>湖北省武汉市</w:t>
                  </w:r>
                  <w:r>
                    <w:rPr>
                      <w:rFonts w:ascii="SimSun" w:hAnsi="SimSun" w:cs="SimSun" w:hint="eastAsia"/>
                      <w:bCs/>
                      <w:color w:val="000000"/>
                      <w:lang w:val="en-US" w:eastAsia="zh-CN"/>
                    </w:rPr>
                    <w:t>药品零售市场</w:t>
                  </w:r>
                </w:p>
                <w:p w14:paraId="59197ADD" w14:textId="3A631925"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如上所述</w:t>
                  </w:r>
                </w:p>
              </w:tc>
            </w:tr>
            <w:tr w:rsidR="008743E2" w14:paraId="45E1CF71" w14:textId="77777777">
              <w:trPr>
                <w:trHeight w:val="1145"/>
              </w:trPr>
              <w:tc>
                <w:tcPr>
                  <w:tcW w:w="2429" w:type="dxa"/>
                  <w:vAlign w:val="center"/>
                </w:tcPr>
                <w:p w14:paraId="191E9E63"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上游：药品批发市场</w:t>
                  </w:r>
                </w:p>
                <w:p w14:paraId="46AEEACC"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下游：药品零售市场</w:t>
                  </w:r>
                </w:p>
              </w:tc>
              <w:tc>
                <w:tcPr>
                  <w:tcW w:w="2495" w:type="dxa"/>
                  <w:vAlign w:val="center"/>
                </w:tcPr>
                <w:p w14:paraId="3F725BBE"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上游：中国境内</w:t>
                  </w:r>
                </w:p>
                <w:p w14:paraId="21365461" w14:textId="77777777" w:rsidR="008743E2" w:rsidRDefault="00166028">
                  <w:pPr>
                    <w:pStyle w:val="BodyText"/>
                    <w:adjustRightInd w:val="0"/>
                    <w:snapToGrid w:val="0"/>
                    <w:spacing w:after="0"/>
                    <w:jc w:val="center"/>
                    <w:rPr>
                      <w:rFonts w:ascii="SimSun" w:hAnsi="SimSun" w:cs="SimSun"/>
                      <w:bCs/>
                      <w:color w:val="000000"/>
                      <w:lang w:val="en-US" w:eastAsia="zh-CN"/>
                    </w:rPr>
                  </w:pPr>
                  <w:r>
                    <w:rPr>
                      <w:rFonts w:ascii="SimSun" w:hAnsi="SimSun" w:cs="SimSun" w:hint="eastAsia"/>
                      <w:bCs/>
                      <w:color w:val="000000"/>
                      <w:lang w:val="en-US" w:eastAsia="zh-CN"/>
                    </w:rPr>
                    <w:t>下游：浙江省宁波市</w:t>
                  </w:r>
                </w:p>
              </w:tc>
              <w:tc>
                <w:tcPr>
                  <w:tcW w:w="2550" w:type="dxa"/>
                  <w:vAlign w:val="center"/>
                </w:tcPr>
                <w:p w14:paraId="3C4FC43C"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上游：中国境内药品批发市场</w:t>
                  </w:r>
                </w:p>
                <w:p w14:paraId="5B281813"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云健康：如上所述</w:t>
                  </w:r>
                </w:p>
                <w:p w14:paraId="2C30686C" w14:textId="77777777" w:rsidR="008743E2" w:rsidRDefault="00166028">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下游：浙江省宁波市药品零售市场</w:t>
                  </w:r>
                </w:p>
                <w:p w14:paraId="5822B0B4" w14:textId="473629B0" w:rsidR="008743E2" w:rsidRDefault="009507CE">
                  <w:pPr>
                    <w:pStyle w:val="BodyText"/>
                    <w:adjustRightInd w:val="0"/>
                    <w:snapToGrid w:val="0"/>
                    <w:spacing w:after="0"/>
                    <w:rPr>
                      <w:rFonts w:ascii="SimSun" w:hAnsi="SimSun" w:cs="SimSun"/>
                      <w:bCs/>
                      <w:color w:val="000000"/>
                      <w:lang w:val="en-US" w:eastAsia="zh-CN"/>
                    </w:rPr>
                  </w:pPr>
                  <w:r w:rsidRPr="009507CE">
                    <w:rPr>
                      <w:rFonts w:ascii="SimSun" w:hAnsi="SimSun" w:cs="SimSun" w:hint="eastAsia"/>
                      <w:bCs/>
                      <w:color w:val="000000"/>
                      <w:lang w:eastAsia="zh-CN"/>
                    </w:rPr>
                    <w:t>上药宁波大药房、海曙新芝、海曙益友、宁波惠宁、宁波利东、宁波柳汀、宁波银苑</w:t>
                  </w:r>
                  <w:r w:rsidR="00166028">
                    <w:rPr>
                      <w:rFonts w:ascii="SimSun" w:hAnsi="SimSun" w:cs="SimSun" w:hint="eastAsia"/>
                      <w:bCs/>
                      <w:color w:val="000000"/>
                      <w:lang w:val="en-US" w:eastAsia="zh-CN"/>
                    </w:rPr>
                    <w:t>：</w:t>
                  </w:r>
                  <w:r w:rsidR="00166028">
                    <w:rPr>
                      <w:rFonts w:ascii="SimSun" w:hAnsi="SimSun" w:cs="SimSun"/>
                      <w:bCs/>
                      <w:color w:val="000000"/>
                      <w:lang w:val="en-US" w:eastAsia="zh-CN"/>
                    </w:rPr>
                    <w:t>15-20%</w:t>
                  </w:r>
                </w:p>
              </w:tc>
            </w:tr>
          </w:tbl>
          <w:p w14:paraId="02E00B08" w14:textId="77777777" w:rsidR="008743E2" w:rsidRDefault="008743E2">
            <w:pPr>
              <w:pStyle w:val="BodyText"/>
              <w:adjustRightInd w:val="0"/>
              <w:snapToGrid w:val="0"/>
              <w:spacing w:after="0"/>
              <w:rPr>
                <w:rFonts w:ascii="SimSun" w:hAnsi="SimSun" w:cs="SimSun"/>
                <w:bCs/>
                <w:color w:val="000000"/>
                <w:lang w:val="en-US" w:eastAsia="zh-CN"/>
              </w:rPr>
            </w:pPr>
          </w:p>
        </w:tc>
      </w:tr>
    </w:tbl>
    <w:p w14:paraId="5B5434CE" w14:textId="77777777" w:rsidR="008743E2" w:rsidRDefault="008743E2">
      <w:pPr>
        <w:pStyle w:val="BodyText"/>
        <w:adjustRightInd w:val="0"/>
        <w:snapToGrid w:val="0"/>
        <w:spacing w:after="0"/>
        <w:rPr>
          <w:rFonts w:ascii="Arial" w:eastAsia="KaiTi_GB2312" w:hAnsi="Arial" w:cs="Arial"/>
          <w:b/>
          <w:color w:val="000000"/>
          <w:sz w:val="22"/>
          <w:szCs w:val="22"/>
          <w:lang w:eastAsia="zh-CN"/>
        </w:rPr>
      </w:pPr>
    </w:p>
    <w:sectPr w:rsidR="008743E2">
      <w:footerReference w:type="default" r:id="rId11"/>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0057D" w14:textId="77777777" w:rsidR="00A47F3C" w:rsidRDefault="00A47F3C">
      <w:pPr>
        <w:spacing w:after="0"/>
      </w:pPr>
      <w:r>
        <w:separator/>
      </w:r>
    </w:p>
  </w:endnote>
  <w:endnote w:type="continuationSeparator" w:id="0">
    <w:p w14:paraId="23E67B10" w14:textId="77777777" w:rsidR="00A47F3C" w:rsidRDefault="00A47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FangSong_GB2312">
    <w:altName w:val="Microsoft YaHei"/>
    <w:panose1 w:val="020B0604020202020204"/>
    <w:charset w:val="86"/>
    <w:family w:val="auto"/>
    <w:pitch w:val="default"/>
    <w:sig w:usb0="00000001" w:usb1="080E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KaiTi_GB2312">
    <w:altName w:val="KaiTi"/>
    <w:panose1 w:val="020B0604020202020204"/>
    <w:charset w:val="86"/>
    <w:family w:val="modern"/>
    <w:pitch w:val="fixed"/>
    <w:sig w:usb0="00002A87" w:usb1="080E0000" w:usb2="00000010" w:usb3="00000000" w:csb0="0004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7"/>
      <w:gridCol w:w="3011"/>
      <w:gridCol w:w="3008"/>
    </w:tblGrid>
    <w:tr w:rsidR="008743E2" w14:paraId="73840680" w14:textId="77777777">
      <w:tc>
        <w:tcPr>
          <w:tcW w:w="3080" w:type="dxa"/>
        </w:tcPr>
        <w:p w14:paraId="11D6B3F0" w14:textId="77777777" w:rsidR="008743E2" w:rsidRDefault="008743E2">
          <w:pPr>
            <w:pStyle w:val="Footer"/>
          </w:pPr>
        </w:p>
      </w:tc>
      <w:tc>
        <w:tcPr>
          <w:tcW w:w="3081" w:type="dxa"/>
        </w:tcPr>
        <w:p w14:paraId="74C1B675" w14:textId="77777777" w:rsidR="008743E2" w:rsidRDefault="00166028">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lang w:val="en-US"/>
            </w:rPr>
            <w:t>2</w:t>
          </w:r>
          <w:r>
            <w:rPr>
              <w:rStyle w:val="PageNumber"/>
              <w:rFonts w:cs="Times New Roman"/>
            </w:rPr>
            <w:fldChar w:fldCharType="end"/>
          </w:r>
          <w:r>
            <w:rPr>
              <w:rStyle w:val="PageNumber"/>
              <w:rFonts w:cs="Times New Roman"/>
            </w:rPr>
            <w:t xml:space="preserve"> -</w:t>
          </w:r>
        </w:p>
      </w:tc>
      <w:tc>
        <w:tcPr>
          <w:tcW w:w="3081" w:type="dxa"/>
        </w:tcPr>
        <w:p w14:paraId="46819027" w14:textId="77777777" w:rsidR="008743E2" w:rsidRDefault="008743E2">
          <w:pPr>
            <w:pStyle w:val="FooterRight"/>
          </w:pPr>
        </w:p>
      </w:tc>
    </w:tr>
  </w:tbl>
  <w:p w14:paraId="2AFA50A4" w14:textId="77777777" w:rsidR="008743E2" w:rsidRDefault="00874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1E607" w14:textId="77777777" w:rsidR="00A47F3C" w:rsidRDefault="00A47F3C">
      <w:pPr>
        <w:spacing w:after="0"/>
      </w:pPr>
      <w:r>
        <w:separator/>
      </w:r>
    </w:p>
  </w:footnote>
  <w:footnote w:type="continuationSeparator" w:id="0">
    <w:p w14:paraId="1E63B604" w14:textId="77777777" w:rsidR="00A47F3C" w:rsidRDefault="00A47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A02ABD"/>
    <w:multiLevelType w:val="singleLevel"/>
    <w:tmpl w:val="A2A02ABD"/>
    <w:lvl w:ilvl="0">
      <w:start w:val="2"/>
      <w:numFmt w:val="decimal"/>
      <w:suff w:val="space"/>
      <w:lvlText w:val="%1."/>
      <w:lvlJc w:val="left"/>
    </w:lvl>
  </w:abstractNum>
  <w:abstractNum w:abstractNumId="1" w15:restartNumberingAfterBreak="0">
    <w:nsid w:val="25195CAD"/>
    <w:multiLevelType w:val="multilevel"/>
    <w:tmpl w:val="25195CAD"/>
    <w:lvl w:ilvl="0">
      <w:start w:val="1"/>
      <w:numFmt w:val="bullet"/>
      <w:pStyle w:val="BulletL1"/>
      <w:lvlText w:val="·"/>
      <w:lvlJc w:val="left"/>
      <w:pPr>
        <w:tabs>
          <w:tab w:val="left"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left"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left"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left"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left"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left"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left"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2"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6B4F0377"/>
    <w:multiLevelType w:val="multilevel"/>
    <w:tmpl w:val="6B4F0377"/>
    <w:lvl w:ilvl="0">
      <w:start w:val="1"/>
      <w:numFmt w:val="decimal"/>
      <w:pStyle w:val="StandardL1"/>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oNotDisplayPageBoundarie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displayHorizontalDrawingGridEvery w:val="0"/>
  <w:displayVerticalDrawingGridEvery w:val="2"/>
  <w:characterSpacingControl w:val="doNotCompress"/>
  <w:doNotValidateAgainstSchema/>
  <w:doNotDemarcateInvalidXml/>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07724"/>
    <w:rsid w:val="0001326C"/>
    <w:rsid w:val="000150B7"/>
    <w:rsid w:val="00021AB2"/>
    <w:rsid w:val="00026D08"/>
    <w:rsid w:val="00027D56"/>
    <w:rsid w:val="000326C8"/>
    <w:rsid w:val="00034466"/>
    <w:rsid w:val="00041C40"/>
    <w:rsid w:val="0004292A"/>
    <w:rsid w:val="000467AA"/>
    <w:rsid w:val="00062616"/>
    <w:rsid w:val="0007104A"/>
    <w:rsid w:val="00073E6B"/>
    <w:rsid w:val="00076905"/>
    <w:rsid w:val="0007723F"/>
    <w:rsid w:val="00077D60"/>
    <w:rsid w:val="00083590"/>
    <w:rsid w:val="00092F4E"/>
    <w:rsid w:val="000A3380"/>
    <w:rsid w:val="000A4053"/>
    <w:rsid w:val="000A5242"/>
    <w:rsid w:val="000B0F4E"/>
    <w:rsid w:val="000B4BD7"/>
    <w:rsid w:val="000B58E5"/>
    <w:rsid w:val="000B653C"/>
    <w:rsid w:val="000C240E"/>
    <w:rsid w:val="000C6953"/>
    <w:rsid w:val="000D6D84"/>
    <w:rsid w:val="000E29A9"/>
    <w:rsid w:val="000E3A81"/>
    <w:rsid w:val="000E7332"/>
    <w:rsid w:val="000F441B"/>
    <w:rsid w:val="001010CC"/>
    <w:rsid w:val="00107E19"/>
    <w:rsid w:val="001140BA"/>
    <w:rsid w:val="0011433B"/>
    <w:rsid w:val="00115F62"/>
    <w:rsid w:val="00123E26"/>
    <w:rsid w:val="00132C1E"/>
    <w:rsid w:val="00142646"/>
    <w:rsid w:val="00142EC4"/>
    <w:rsid w:val="00145B05"/>
    <w:rsid w:val="00146C06"/>
    <w:rsid w:val="00146C56"/>
    <w:rsid w:val="00151BF4"/>
    <w:rsid w:val="00157F5F"/>
    <w:rsid w:val="001639D8"/>
    <w:rsid w:val="00166028"/>
    <w:rsid w:val="00185B15"/>
    <w:rsid w:val="00186A05"/>
    <w:rsid w:val="001965E2"/>
    <w:rsid w:val="001A2F31"/>
    <w:rsid w:val="001B3A79"/>
    <w:rsid w:val="001B4EA1"/>
    <w:rsid w:val="001C5840"/>
    <w:rsid w:val="001C7EB8"/>
    <w:rsid w:val="001D1555"/>
    <w:rsid w:val="001D6168"/>
    <w:rsid w:val="001D667E"/>
    <w:rsid w:val="001E0F1F"/>
    <w:rsid w:val="001F346E"/>
    <w:rsid w:val="001F35AA"/>
    <w:rsid w:val="001F367B"/>
    <w:rsid w:val="001F7FB2"/>
    <w:rsid w:val="00201B27"/>
    <w:rsid w:val="0020688D"/>
    <w:rsid w:val="00210EA3"/>
    <w:rsid w:val="00224A7C"/>
    <w:rsid w:val="002278D1"/>
    <w:rsid w:val="00231665"/>
    <w:rsid w:val="00233737"/>
    <w:rsid w:val="0023397F"/>
    <w:rsid w:val="0023420F"/>
    <w:rsid w:val="002403B5"/>
    <w:rsid w:val="00245281"/>
    <w:rsid w:val="00250E61"/>
    <w:rsid w:val="00261F94"/>
    <w:rsid w:val="00263C1C"/>
    <w:rsid w:val="002669FC"/>
    <w:rsid w:val="00267941"/>
    <w:rsid w:val="00287E91"/>
    <w:rsid w:val="00291652"/>
    <w:rsid w:val="002964A1"/>
    <w:rsid w:val="002A0F48"/>
    <w:rsid w:val="002A21CF"/>
    <w:rsid w:val="002A25F2"/>
    <w:rsid w:val="002A5243"/>
    <w:rsid w:val="002A547B"/>
    <w:rsid w:val="002A7C26"/>
    <w:rsid w:val="002B14B6"/>
    <w:rsid w:val="002C5583"/>
    <w:rsid w:val="002C7FBB"/>
    <w:rsid w:val="002D3701"/>
    <w:rsid w:val="002E080B"/>
    <w:rsid w:val="002E3342"/>
    <w:rsid w:val="002F09A7"/>
    <w:rsid w:val="002F3775"/>
    <w:rsid w:val="002F5271"/>
    <w:rsid w:val="00305A61"/>
    <w:rsid w:val="003065A2"/>
    <w:rsid w:val="00306B88"/>
    <w:rsid w:val="00307BCF"/>
    <w:rsid w:val="00310488"/>
    <w:rsid w:val="00311263"/>
    <w:rsid w:val="00315E46"/>
    <w:rsid w:val="00323BB7"/>
    <w:rsid w:val="0032575A"/>
    <w:rsid w:val="00336527"/>
    <w:rsid w:val="0034107F"/>
    <w:rsid w:val="00342000"/>
    <w:rsid w:val="00344D27"/>
    <w:rsid w:val="00345672"/>
    <w:rsid w:val="00354BED"/>
    <w:rsid w:val="0035604C"/>
    <w:rsid w:val="00356A35"/>
    <w:rsid w:val="0036781E"/>
    <w:rsid w:val="00371332"/>
    <w:rsid w:val="00372964"/>
    <w:rsid w:val="003850D4"/>
    <w:rsid w:val="00385F00"/>
    <w:rsid w:val="00386264"/>
    <w:rsid w:val="003866EF"/>
    <w:rsid w:val="00390205"/>
    <w:rsid w:val="003A41F0"/>
    <w:rsid w:val="003A4565"/>
    <w:rsid w:val="003A5F3B"/>
    <w:rsid w:val="003B27EC"/>
    <w:rsid w:val="003B2F86"/>
    <w:rsid w:val="003B4439"/>
    <w:rsid w:val="003B47A1"/>
    <w:rsid w:val="003B4C9E"/>
    <w:rsid w:val="003B7CBC"/>
    <w:rsid w:val="003C335C"/>
    <w:rsid w:val="003C3456"/>
    <w:rsid w:val="003D1E79"/>
    <w:rsid w:val="003E3B57"/>
    <w:rsid w:val="003E4895"/>
    <w:rsid w:val="003E69E8"/>
    <w:rsid w:val="003E6F15"/>
    <w:rsid w:val="003E73DB"/>
    <w:rsid w:val="00403807"/>
    <w:rsid w:val="00404261"/>
    <w:rsid w:val="0041013C"/>
    <w:rsid w:val="00410914"/>
    <w:rsid w:val="004119F5"/>
    <w:rsid w:val="00416471"/>
    <w:rsid w:val="004166B2"/>
    <w:rsid w:val="004203EF"/>
    <w:rsid w:val="004221C3"/>
    <w:rsid w:val="0042649B"/>
    <w:rsid w:val="00427E52"/>
    <w:rsid w:val="00442A66"/>
    <w:rsid w:val="0044476B"/>
    <w:rsid w:val="00446353"/>
    <w:rsid w:val="00446D40"/>
    <w:rsid w:val="0044739B"/>
    <w:rsid w:val="00454CAD"/>
    <w:rsid w:val="004574FB"/>
    <w:rsid w:val="004601C8"/>
    <w:rsid w:val="00467A6B"/>
    <w:rsid w:val="0049707A"/>
    <w:rsid w:val="004973DB"/>
    <w:rsid w:val="0049771A"/>
    <w:rsid w:val="004A4BF1"/>
    <w:rsid w:val="004B0885"/>
    <w:rsid w:val="004B3B38"/>
    <w:rsid w:val="004B3EFA"/>
    <w:rsid w:val="004B5880"/>
    <w:rsid w:val="004C3420"/>
    <w:rsid w:val="004D018B"/>
    <w:rsid w:val="004D124C"/>
    <w:rsid w:val="004D4435"/>
    <w:rsid w:val="004D483F"/>
    <w:rsid w:val="004E7026"/>
    <w:rsid w:val="00500963"/>
    <w:rsid w:val="00512A53"/>
    <w:rsid w:val="00523905"/>
    <w:rsid w:val="005251B9"/>
    <w:rsid w:val="00525BC8"/>
    <w:rsid w:val="00525D3D"/>
    <w:rsid w:val="00527499"/>
    <w:rsid w:val="00530BB4"/>
    <w:rsid w:val="005319F9"/>
    <w:rsid w:val="00544A0B"/>
    <w:rsid w:val="00545A47"/>
    <w:rsid w:val="005476C2"/>
    <w:rsid w:val="00547A2B"/>
    <w:rsid w:val="0057200D"/>
    <w:rsid w:val="005774BE"/>
    <w:rsid w:val="00591CEC"/>
    <w:rsid w:val="005A0701"/>
    <w:rsid w:val="005A38DD"/>
    <w:rsid w:val="005B0CEB"/>
    <w:rsid w:val="005B18A3"/>
    <w:rsid w:val="005B492E"/>
    <w:rsid w:val="005B5E00"/>
    <w:rsid w:val="005C65A3"/>
    <w:rsid w:val="005D0A63"/>
    <w:rsid w:val="005D277C"/>
    <w:rsid w:val="005D6D17"/>
    <w:rsid w:val="005D74C2"/>
    <w:rsid w:val="005E7B2F"/>
    <w:rsid w:val="005F5280"/>
    <w:rsid w:val="005F7223"/>
    <w:rsid w:val="00600651"/>
    <w:rsid w:val="0060413B"/>
    <w:rsid w:val="00605EE6"/>
    <w:rsid w:val="0060669E"/>
    <w:rsid w:val="00612488"/>
    <w:rsid w:val="006129D3"/>
    <w:rsid w:val="00614EBB"/>
    <w:rsid w:val="0061583E"/>
    <w:rsid w:val="006173C7"/>
    <w:rsid w:val="00617BCA"/>
    <w:rsid w:val="006221A7"/>
    <w:rsid w:val="00632159"/>
    <w:rsid w:val="00634C68"/>
    <w:rsid w:val="00645B6A"/>
    <w:rsid w:val="00654396"/>
    <w:rsid w:val="00655225"/>
    <w:rsid w:val="00663E17"/>
    <w:rsid w:val="00664174"/>
    <w:rsid w:val="006643EA"/>
    <w:rsid w:val="00664745"/>
    <w:rsid w:val="0066567A"/>
    <w:rsid w:val="00665B93"/>
    <w:rsid w:val="00673095"/>
    <w:rsid w:val="0067348D"/>
    <w:rsid w:val="00673DDF"/>
    <w:rsid w:val="006745A9"/>
    <w:rsid w:val="00682729"/>
    <w:rsid w:val="00687BB7"/>
    <w:rsid w:val="006A0E90"/>
    <w:rsid w:val="006A1622"/>
    <w:rsid w:val="006B4541"/>
    <w:rsid w:val="006C0EED"/>
    <w:rsid w:val="006C62FC"/>
    <w:rsid w:val="006D0D00"/>
    <w:rsid w:val="006D1E2B"/>
    <w:rsid w:val="006D3AAF"/>
    <w:rsid w:val="006D6A64"/>
    <w:rsid w:val="006E0D98"/>
    <w:rsid w:val="006E11E6"/>
    <w:rsid w:val="006E3180"/>
    <w:rsid w:val="006E6E26"/>
    <w:rsid w:val="006E70AA"/>
    <w:rsid w:val="006E74E1"/>
    <w:rsid w:val="006F1F2E"/>
    <w:rsid w:val="006F25BF"/>
    <w:rsid w:val="006F38A6"/>
    <w:rsid w:val="006F7A98"/>
    <w:rsid w:val="007029CB"/>
    <w:rsid w:val="00705778"/>
    <w:rsid w:val="00705A94"/>
    <w:rsid w:val="007105F0"/>
    <w:rsid w:val="00712917"/>
    <w:rsid w:val="0071373B"/>
    <w:rsid w:val="00720F7B"/>
    <w:rsid w:val="00725DBE"/>
    <w:rsid w:val="00726629"/>
    <w:rsid w:val="00726B19"/>
    <w:rsid w:val="00727BD0"/>
    <w:rsid w:val="00731ABF"/>
    <w:rsid w:val="007373F0"/>
    <w:rsid w:val="00742AFE"/>
    <w:rsid w:val="00742EDF"/>
    <w:rsid w:val="00751420"/>
    <w:rsid w:val="007674D7"/>
    <w:rsid w:val="00772298"/>
    <w:rsid w:val="00774FE1"/>
    <w:rsid w:val="00794062"/>
    <w:rsid w:val="00794118"/>
    <w:rsid w:val="00797584"/>
    <w:rsid w:val="007A2D94"/>
    <w:rsid w:val="007A6523"/>
    <w:rsid w:val="007B2296"/>
    <w:rsid w:val="007B651A"/>
    <w:rsid w:val="007B6ED8"/>
    <w:rsid w:val="007B75E4"/>
    <w:rsid w:val="007D4E77"/>
    <w:rsid w:val="007E18BD"/>
    <w:rsid w:val="007E2608"/>
    <w:rsid w:val="007F1726"/>
    <w:rsid w:val="007F6995"/>
    <w:rsid w:val="0080200E"/>
    <w:rsid w:val="00803A33"/>
    <w:rsid w:val="008051ED"/>
    <w:rsid w:val="0081046A"/>
    <w:rsid w:val="00811437"/>
    <w:rsid w:val="00811775"/>
    <w:rsid w:val="008248B2"/>
    <w:rsid w:val="00827D6D"/>
    <w:rsid w:val="008318C7"/>
    <w:rsid w:val="00834D88"/>
    <w:rsid w:val="0083548A"/>
    <w:rsid w:val="00836BBE"/>
    <w:rsid w:val="00837EF0"/>
    <w:rsid w:val="008476D3"/>
    <w:rsid w:val="00862B30"/>
    <w:rsid w:val="00863571"/>
    <w:rsid w:val="008636BA"/>
    <w:rsid w:val="00864085"/>
    <w:rsid w:val="008743E2"/>
    <w:rsid w:val="008757CA"/>
    <w:rsid w:val="008803D0"/>
    <w:rsid w:val="00880AF9"/>
    <w:rsid w:val="00880F24"/>
    <w:rsid w:val="008836AF"/>
    <w:rsid w:val="00885C9B"/>
    <w:rsid w:val="00893879"/>
    <w:rsid w:val="008B2172"/>
    <w:rsid w:val="008B3B21"/>
    <w:rsid w:val="008C0FFB"/>
    <w:rsid w:val="008C4868"/>
    <w:rsid w:val="008C5B7A"/>
    <w:rsid w:val="008D1090"/>
    <w:rsid w:val="008D4ED8"/>
    <w:rsid w:val="008D644E"/>
    <w:rsid w:val="008D7816"/>
    <w:rsid w:val="008E09C9"/>
    <w:rsid w:val="008E5BCA"/>
    <w:rsid w:val="009022B0"/>
    <w:rsid w:val="009030E0"/>
    <w:rsid w:val="00905F4A"/>
    <w:rsid w:val="00906E63"/>
    <w:rsid w:val="0091056F"/>
    <w:rsid w:val="009145E4"/>
    <w:rsid w:val="009217B5"/>
    <w:rsid w:val="009256CD"/>
    <w:rsid w:val="00925FA8"/>
    <w:rsid w:val="00927553"/>
    <w:rsid w:val="009301D9"/>
    <w:rsid w:val="00930616"/>
    <w:rsid w:val="00933D52"/>
    <w:rsid w:val="009377D5"/>
    <w:rsid w:val="00937D5C"/>
    <w:rsid w:val="0094346F"/>
    <w:rsid w:val="00943F7A"/>
    <w:rsid w:val="00946CFA"/>
    <w:rsid w:val="009507CE"/>
    <w:rsid w:val="00953187"/>
    <w:rsid w:val="009551E9"/>
    <w:rsid w:val="0096333E"/>
    <w:rsid w:val="009645CF"/>
    <w:rsid w:val="00965A30"/>
    <w:rsid w:val="009668EC"/>
    <w:rsid w:val="00970DD5"/>
    <w:rsid w:val="00977C3B"/>
    <w:rsid w:val="009901B5"/>
    <w:rsid w:val="009A0BCC"/>
    <w:rsid w:val="009A19EE"/>
    <w:rsid w:val="009A1A16"/>
    <w:rsid w:val="009A2EFA"/>
    <w:rsid w:val="009A4508"/>
    <w:rsid w:val="009A5059"/>
    <w:rsid w:val="009A57C5"/>
    <w:rsid w:val="009A6C73"/>
    <w:rsid w:val="009A6CD4"/>
    <w:rsid w:val="009A6E66"/>
    <w:rsid w:val="009A76AB"/>
    <w:rsid w:val="009A7783"/>
    <w:rsid w:val="009B0211"/>
    <w:rsid w:val="009B6400"/>
    <w:rsid w:val="009C16F8"/>
    <w:rsid w:val="009C1DE7"/>
    <w:rsid w:val="009C5625"/>
    <w:rsid w:val="009C5962"/>
    <w:rsid w:val="009C59DD"/>
    <w:rsid w:val="009D0999"/>
    <w:rsid w:val="009E2FF5"/>
    <w:rsid w:val="009E49F0"/>
    <w:rsid w:val="009F0698"/>
    <w:rsid w:val="009F2516"/>
    <w:rsid w:val="009F36C1"/>
    <w:rsid w:val="00A03C93"/>
    <w:rsid w:val="00A05705"/>
    <w:rsid w:val="00A1286C"/>
    <w:rsid w:val="00A16F03"/>
    <w:rsid w:val="00A21136"/>
    <w:rsid w:val="00A24E6C"/>
    <w:rsid w:val="00A3323A"/>
    <w:rsid w:val="00A3697C"/>
    <w:rsid w:val="00A44D91"/>
    <w:rsid w:val="00A462E4"/>
    <w:rsid w:val="00A46C66"/>
    <w:rsid w:val="00A46FAF"/>
    <w:rsid w:val="00A47F3C"/>
    <w:rsid w:val="00A51DB2"/>
    <w:rsid w:val="00A56327"/>
    <w:rsid w:val="00A5674A"/>
    <w:rsid w:val="00A60F91"/>
    <w:rsid w:val="00A623EF"/>
    <w:rsid w:val="00A632C9"/>
    <w:rsid w:val="00A64F91"/>
    <w:rsid w:val="00A7438D"/>
    <w:rsid w:val="00A74797"/>
    <w:rsid w:val="00A74C0D"/>
    <w:rsid w:val="00A7601D"/>
    <w:rsid w:val="00A81984"/>
    <w:rsid w:val="00A850E0"/>
    <w:rsid w:val="00A871E0"/>
    <w:rsid w:val="00A915D0"/>
    <w:rsid w:val="00A932D1"/>
    <w:rsid w:val="00A93D8E"/>
    <w:rsid w:val="00AA0F23"/>
    <w:rsid w:val="00AA3E2F"/>
    <w:rsid w:val="00AA46CA"/>
    <w:rsid w:val="00AA535B"/>
    <w:rsid w:val="00AA582F"/>
    <w:rsid w:val="00AB409D"/>
    <w:rsid w:val="00AB6788"/>
    <w:rsid w:val="00AC3273"/>
    <w:rsid w:val="00AC6130"/>
    <w:rsid w:val="00AC68C4"/>
    <w:rsid w:val="00AD310D"/>
    <w:rsid w:val="00AD31F0"/>
    <w:rsid w:val="00AD3D4D"/>
    <w:rsid w:val="00AD508B"/>
    <w:rsid w:val="00AD54BD"/>
    <w:rsid w:val="00AE00A5"/>
    <w:rsid w:val="00AE06C7"/>
    <w:rsid w:val="00AE4069"/>
    <w:rsid w:val="00AE7916"/>
    <w:rsid w:val="00AF09EA"/>
    <w:rsid w:val="00AF1D6D"/>
    <w:rsid w:val="00AF5632"/>
    <w:rsid w:val="00AF668A"/>
    <w:rsid w:val="00B04913"/>
    <w:rsid w:val="00B16AE7"/>
    <w:rsid w:val="00B2169A"/>
    <w:rsid w:val="00B271A6"/>
    <w:rsid w:val="00B27564"/>
    <w:rsid w:val="00B31D4D"/>
    <w:rsid w:val="00B3616B"/>
    <w:rsid w:val="00B37633"/>
    <w:rsid w:val="00B37DB3"/>
    <w:rsid w:val="00B40390"/>
    <w:rsid w:val="00B518C9"/>
    <w:rsid w:val="00B52EAC"/>
    <w:rsid w:val="00B52F43"/>
    <w:rsid w:val="00B54969"/>
    <w:rsid w:val="00B61738"/>
    <w:rsid w:val="00B61BB8"/>
    <w:rsid w:val="00B66D4B"/>
    <w:rsid w:val="00B746A3"/>
    <w:rsid w:val="00B77D90"/>
    <w:rsid w:val="00B80B9E"/>
    <w:rsid w:val="00B835A1"/>
    <w:rsid w:val="00B838DA"/>
    <w:rsid w:val="00B86DC3"/>
    <w:rsid w:val="00B86E3A"/>
    <w:rsid w:val="00BA017F"/>
    <w:rsid w:val="00BA295F"/>
    <w:rsid w:val="00BB0605"/>
    <w:rsid w:val="00BD535F"/>
    <w:rsid w:val="00BE6E64"/>
    <w:rsid w:val="00BF31B7"/>
    <w:rsid w:val="00BF4F99"/>
    <w:rsid w:val="00BF6751"/>
    <w:rsid w:val="00C02573"/>
    <w:rsid w:val="00C06D4E"/>
    <w:rsid w:val="00C10048"/>
    <w:rsid w:val="00C22DAB"/>
    <w:rsid w:val="00C25963"/>
    <w:rsid w:val="00C30E9B"/>
    <w:rsid w:val="00C37629"/>
    <w:rsid w:val="00C424FC"/>
    <w:rsid w:val="00C51CAD"/>
    <w:rsid w:val="00C51ECC"/>
    <w:rsid w:val="00C600D9"/>
    <w:rsid w:val="00C632C0"/>
    <w:rsid w:val="00C67ADA"/>
    <w:rsid w:val="00C810E8"/>
    <w:rsid w:val="00C847C2"/>
    <w:rsid w:val="00C93D80"/>
    <w:rsid w:val="00CA11AF"/>
    <w:rsid w:val="00CA6613"/>
    <w:rsid w:val="00CC281A"/>
    <w:rsid w:val="00CC69AD"/>
    <w:rsid w:val="00CD5F49"/>
    <w:rsid w:val="00CD77BD"/>
    <w:rsid w:val="00CF0D2C"/>
    <w:rsid w:val="00CF1664"/>
    <w:rsid w:val="00CF5A8A"/>
    <w:rsid w:val="00CF72D9"/>
    <w:rsid w:val="00D01278"/>
    <w:rsid w:val="00D03E9E"/>
    <w:rsid w:val="00D064A7"/>
    <w:rsid w:val="00D112F7"/>
    <w:rsid w:val="00D12AB1"/>
    <w:rsid w:val="00D140A6"/>
    <w:rsid w:val="00D15886"/>
    <w:rsid w:val="00D23B36"/>
    <w:rsid w:val="00D24BF2"/>
    <w:rsid w:val="00D27AEB"/>
    <w:rsid w:val="00D53BAE"/>
    <w:rsid w:val="00D57DBA"/>
    <w:rsid w:val="00D57EBC"/>
    <w:rsid w:val="00D61919"/>
    <w:rsid w:val="00D6475C"/>
    <w:rsid w:val="00D70469"/>
    <w:rsid w:val="00D7111D"/>
    <w:rsid w:val="00D71F76"/>
    <w:rsid w:val="00D77095"/>
    <w:rsid w:val="00D77535"/>
    <w:rsid w:val="00D80573"/>
    <w:rsid w:val="00D80F88"/>
    <w:rsid w:val="00D838B7"/>
    <w:rsid w:val="00D94BB1"/>
    <w:rsid w:val="00D961C9"/>
    <w:rsid w:val="00D97B80"/>
    <w:rsid w:val="00DA1D73"/>
    <w:rsid w:val="00DB1DC1"/>
    <w:rsid w:val="00DB2761"/>
    <w:rsid w:val="00DB2E8D"/>
    <w:rsid w:val="00DB2FF6"/>
    <w:rsid w:val="00DB403F"/>
    <w:rsid w:val="00DC6A0D"/>
    <w:rsid w:val="00DD0E0C"/>
    <w:rsid w:val="00DD3803"/>
    <w:rsid w:val="00DD5FE2"/>
    <w:rsid w:val="00DD7765"/>
    <w:rsid w:val="00DE522D"/>
    <w:rsid w:val="00E1021B"/>
    <w:rsid w:val="00E23955"/>
    <w:rsid w:val="00E24C1D"/>
    <w:rsid w:val="00E417DF"/>
    <w:rsid w:val="00E47327"/>
    <w:rsid w:val="00E53105"/>
    <w:rsid w:val="00E5702B"/>
    <w:rsid w:val="00E6438B"/>
    <w:rsid w:val="00E7385D"/>
    <w:rsid w:val="00E7639A"/>
    <w:rsid w:val="00E766DD"/>
    <w:rsid w:val="00E80B5B"/>
    <w:rsid w:val="00E86579"/>
    <w:rsid w:val="00E87AFC"/>
    <w:rsid w:val="00E90A19"/>
    <w:rsid w:val="00E958B5"/>
    <w:rsid w:val="00E974F8"/>
    <w:rsid w:val="00EA0FF1"/>
    <w:rsid w:val="00EA7489"/>
    <w:rsid w:val="00EA79DA"/>
    <w:rsid w:val="00EC352D"/>
    <w:rsid w:val="00EC4836"/>
    <w:rsid w:val="00EC5825"/>
    <w:rsid w:val="00EC5BD8"/>
    <w:rsid w:val="00EC636E"/>
    <w:rsid w:val="00EC6CF8"/>
    <w:rsid w:val="00EC7E55"/>
    <w:rsid w:val="00ED0D8B"/>
    <w:rsid w:val="00ED1A0D"/>
    <w:rsid w:val="00ED1F92"/>
    <w:rsid w:val="00ED6F93"/>
    <w:rsid w:val="00EE160E"/>
    <w:rsid w:val="00EE7CB8"/>
    <w:rsid w:val="00EF16FB"/>
    <w:rsid w:val="00EF3C6D"/>
    <w:rsid w:val="00F02216"/>
    <w:rsid w:val="00F0291C"/>
    <w:rsid w:val="00F03767"/>
    <w:rsid w:val="00F101DD"/>
    <w:rsid w:val="00F107A3"/>
    <w:rsid w:val="00F14193"/>
    <w:rsid w:val="00F14D59"/>
    <w:rsid w:val="00F20CCE"/>
    <w:rsid w:val="00F26846"/>
    <w:rsid w:val="00F3614E"/>
    <w:rsid w:val="00F41C4A"/>
    <w:rsid w:val="00F457CA"/>
    <w:rsid w:val="00F52516"/>
    <w:rsid w:val="00F551CC"/>
    <w:rsid w:val="00F56870"/>
    <w:rsid w:val="00F57580"/>
    <w:rsid w:val="00F576E0"/>
    <w:rsid w:val="00F6440C"/>
    <w:rsid w:val="00F65007"/>
    <w:rsid w:val="00F70FB7"/>
    <w:rsid w:val="00F71AAB"/>
    <w:rsid w:val="00F774F6"/>
    <w:rsid w:val="00F901CF"/>
    <w:rsid w:val="00F906EF"/>
    <w:rsid w:val="00F94099"/>
    <w:rsid w:val="00FA11BE"/>
    <w:rsid w:val="00FA4631"/>
    <w:rsid w:val="00FB0B9A"/>
    <w:rsid w:val="00FB33FD"/>
    <w:rsid w:val="00FB4728"/>
    <w:rsid w:val="00FB47F9"/>
    <w:rsid w:val="00FB645E"/>
    <w:rsid w:val="00FC25BB"/>
    <w:rsid w:val="00FC35ED"/>
    <w:rsid w:val="00FC6EC1"/>
    <w:rsid w:val="00FD6CD9"/>
    <w:rsid w:val="00FE20D9"/>
    <w:rsid w:val="00FE38D7"/>
    <w:rsid w:val="00FF640D"/>
    <w:rsid w:val="00FF7804"/>
    <w:rsid w:val="01115B19"/>
    <w:rsid w:val="03FDA2BC"/>
    <w:rsid w:val="04904FA4"/>
    <w:rsid w:val="049B3B35"/>
    <w:rsid w:val="05BF65B9"/>
    <w:rsid w:val="096D58B6"/>
    <w:rsid w:val="097FB9B0"/>
    <w:rsid w:val="0BBD7568"/>
    <w:rsid w:val="0C7A1979"/>
    <w:rsid w:val="0D8DC5E1"/>
    <w:rsid w:val="0D9F6625"/>
    <w:rsid w:val="0E99261C"/>
    <w:rsid w:val="0EF8859F"/>
    <w:rsid w:val="0F643142"/>
    <w:rsid w:val="0FBD0BFA"/>
    <w:rsid w:val="0FF750C3"/>
    <w:rsid w:val="0FFACC31"/>
    <w:rsid w:val="10FA6C45"/>
    <w:rsid w:val="1126136C"/>
    <w:rsid w:val="15383C05"/>
    <w:rsid w:val="15D2125B"/>
    <w:rsid w:val="16823488"/>
    <w:rsid w:val="170C73DC"/>
    <w:rsid w:val="17395E35"/>
    <w:rsid w:val="17AFEFC6"/>
    <w:rsid w:val="17EE000C"/>
    <w:rsid w:val="19DFB821"/>
    <w:rsid w:val="1AFB42F4"/>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8F803C7"/>
    <w:rsid w:val="29038002"/>
    <w:rsid w:val="29EFBA72"/>
    <w:rsid w:val="2A3DBE84"/>
    <w:rsid w:val="2ABFCFF1"/>
    <w:rsid w:val="2B7D29A5"/>
    <w:rsid w:val="2BB50C75"/>
    <w:rsid w:val="2BDF3E0D"/>
    <w:rsid w:val="2C6E7553"/>
    <w:rsid w:val="2C881EC2"/>
    <w:rsid w:val="2D1E6B10"/>
    <w:rsid w:val="2DB5E5F0"/>
    <w:rsid w:val="2E2B8FB1"/>
    <w:rsid w:val="2E3B7022"/>
    <w:rsid w:val="2EA86696"/>
    <w:rsid w:val="2EDBD162"/>
    <w:rsid w:val="2EDF0E9D"/>
    <w:rsid w:val="2EF96D8A"/>
    <w:rsid w:val="2F3F3404"/>
    <w:rsid w:val="2F5FA7F0"/>
    <w:rsid w:val="2F627547"/>
    <w:rsid w:val="2F8E4690"/>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8CF5396"/>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033445D"/>
    <w:rsid w:val="42C7515C"/>
    <w:rsid w:val="42F753FC"/>
    <w:rsid w:val="449B372C"/>
    <w:rsid w:val="46CE6229"/>
    <w:rsid w:val="4773B61B"/>
    <w:rsid w:val="47F50431"/>
    <w:rsid w:val="499F2B63"/>
    <w:rsid w:val="4AC16A3C"/>
    <w:rsid w:val="4B1B3133"/>
    <w:rsid w:val="4B7BFAEC"/>
    <w:rsid w:val="4BBFA8A3"/>
    <w:rsid w:val="4BC7DFAF"/>
    <w:rsid w:val="4BFCF763"/>
    <w:rsid w:val="4C5FB004"/>
    <w:rsid w:val="4CEF7E6C"/>
    <w:rsid w:val="4D993263"/>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1B4F52"/>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4D3256"/>
    <w:rsid w:val="5B6DF53D"/>
    <w:rsid w:val="5B7E4C2A"/>
    <w:rsid w:val="5BC05F2A"/>
    <w:rsid w:val="5BC07D10"/>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0C1245D"/>
    <w:rsid w:val="60F34BF0"/>
    <w:rsid w:val="627AAA82"/>
    <w:rsid w:val="62FF31B9"/>
    <w:rsid w:val="633373BE"/>
    <w:rsid w:val="63951BF9"/>
    <w:rsid w:val="63F73954"/>
    <w:rsid w:val="63FF8F2C"/>
    <w:rsid w:val="64374E25"/>
    <w:rsid w:val="649B6672"/>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B00DD"/>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3A5527"/>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A5CBD"/>
    <w:rsid w:val="7B1F2734"/>
    <w:rsid w:val="7B254011"/>
    <w:rsid w:val="7B2F7E68"/>
    <w:rsid w:val="7B5A4576"/>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086AF1"/>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8944E8"/>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F797A7"/>
  <w15:docId w15:val="{8419506D-ECE1-CF4D-A006-37B98AE3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1" w:count="376">
    <w:lsdException w:name="header" w:uiPriority="99"/>
    <w:lsdException w:name="line number" w:qFormat="0"/>
    <w:lsdException w:name="List Bullet" w:qFormat="0"/>
    <w:lsdException w:name="List Number" w:qFormat="0"/>
    <w:lsdException w:name="List Bullet 2" w:qFormat="0"/>
    <w:lsdException w:name="List Bullet 3" w:qFormat="0"/>
    <w:lsdException w:name="List Bullet 4" w:qFormat="0"/>
    <w:lsdException w:name="List Bullet 5" w:qFormat="0"/>
    <w:lsdException w:name="List Number 2" w:qFormat="0"/>
    <w:lsdException w:name="List Number 3" w:qFormat="0"/>
    <w:lsdException w:name="List Number 4" w:qFormat="0"/>
    <w:lsdException w:name="List Number 5" w:qFormat="0"/>
    <w:lsdException w:name="Default Paragraph Font" w:semiHidden="1" w:uiPriority="1" w:unhideWhenUsed="1"/>
    <w:lsdException w:name="Hyperlink" w:uiPriority="99"/>
    <w:lsdException w:name="HTML Top of Form" w:semiHidden="1" w:uiPriority="99" w:unhideWhenUsed="1" w:qFormat="0"/>
    <w:lsdException w:name="HTML Bottom of Form" w:semiHidden="1" w:uiPriority="99" w:unhideWhenUsed="1" w:qFormat="0"/>
    <w:lsdException w:name="HTML Acronym" w:qFormat="0"/>
    <w:lsdException w:name="HTML Cite" w:qFormat="0"/>
    <w:lsdException w:name="HTML Code" w:qFormat="0"/>
    <w:lsdException w:name="HTML Definition" w:qFormat="0"/>
    <w:lsdException w:name="HTML Keyboard" w:qFormat="0"/>
    <w:lsdException w:name="HTML Sample" w:qFormat="0"/>
    <w:lsdException w:name="HTML Typewriter" w:qFormat="0"/>
    <w:lsdException w:name="HTML Variable"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qFormat="0"/>
    <w:lsdException w:name="Light List Accent 1" w:uiPriority="61" w:qFormat="0"/>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pacing w:after="240"/>
      <w:jc w:val="both"/>
    </w:pPr>
    <w:rPr>
      <w:sz w:val="24"/>
      <w:szCs w:val="24"/>
      <w:lang w:val="en-GB"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paragraph" w:styleId="BodyText">
    <w:name w:val="Body Text"/>
    <w:basedOn w:val="Normal"/>
    <w:link w:val="BodyTextChar"/>
    <w:qFormat/>
    <w:rPr>
      <w:rFonts w:cs="Simplified Arabic"/>
      <w:lang w:eastAsia="en-GB"/>
    </w:rPr>
  </w:style>
  <w:style w:type="paragraph" w:styleId="List3">
    <w:name w:val="List 3"/>
    <w:basedOn w:val="Normal"/>
    <w:qFormat/>
    <w:pPr>
      <w:ind w:left="1080" w:hanging="360"/>
      <w:contextualSpacing/>
    </w:pPr>
  </w:style>
  <w:style w:type="paragraph" w:styleId="TOC7">
    <w:name w:val="toc 7"/>
    <w:basedOn w:val="Normal"/>
    <w:next w:val="Normal"/>
    <w:qFormat/>
    <w:pPr>
      <w:ind w:left="1440"/>
    </w:pPr>
  </w:style>
  <w:style w:type="paragraph" w:styleId="TableofAuthorities">
    <w:name w:val="table of authorities"/>
    <w:basedOn w:val="Normal"/>
    <w:next w:val="Normal"/>
    <w:qFormat/>
    <w:pPr>
      <w:ind w:left="240" w:hanging="240"/>
    </w:pPr>
  </w:style>
  <w:style w:type="paragraph" w:styleId="NoteHeading">
    <w:name w:val="Note Heading"/>
    <w:basedOn w:val="Normal"/>
    <w:next w:val="Normal"/>
    <w:link w:val="NoteHeadingChar"/>
    <w:qFormat/>
    <w:rPr>
      <w:rFonts w:cs="Simplified Arabic"/>
    </w:rPr>
  </w:style>
  <w:style w:type="paragraph" w:styleId="Index8">
    <w:name w:val="index 8"/>
    <w:basedOn w:val="Normal"/>
    <w:next w:val="Normal"/>
    <w:qFormat/>
    <w:pPr>
      <w:ind w:left="1920" w:hanging="240"/>
    </w:pPr>
  </w:style>
  <w:style w:type="paragraph" w:styleId="E-mailSignature">
    <w:name w:val="E-mail Signature"/>
    <w:basedOn w:val="Normal"/>
    <w:link w:val="E-mailSignatureChar"/>
    <w:qFormat/>
    <w:rPr>
      <w:rFonts w:cs="Simplified Arabic"/>
    </w:rPr>
  </w:style>
  <w:style w:type="paragraph" w:styleId="NormalIndent">
    <w:name w:val="Normal Indent"/>
    <w:basedOn w:val="Normal"/>
    <w:qFormat/>
    <w:pPr>
      <w:ind w:left="720"/>
    </w:pPr>
  </w:style>
  <w:style w:type="paragraph" w:styleId="Caption">
    <w:name w:val="caption"/>
    <w:basedOn w:val="Normal"/>
    <w:next w:val="Normal"/>
    <w:qFormat/>
    <w:rPr>
      <w:b/>
      <w:bCs/>
      <w:sz w:val="20"/>
      <w:szCs w:val="20"/>
    </w:rPr>
  </w:style>
  <w:style w:type="paragraph" w:styleId="Index5">
    <w:name w:val="index 5"/>
    <w:basedOn w:val="Normal"/>
    <w:next w:val="Normal"/>
    <w:qFormat/>
    <w:pPr>
      <w:ind w:left="1200" w:hanging="240"/>
    </w:pPr>
  </w:style>
  <w:style w:type="paragraph" w:styleId="EnvelopeAddress">
    <w:name w:val="envelope address"/>
    <w:basedOn w:val="Normal"/>
    <w:qFormat/>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qFormat/>
    <w:rPr>
      <w:rFonts w:ascii="Tahoma" w:hAnsi="Tahoma" w:cs="Tahoma"/>
      <w:sz w:val="16"/>
      <w:szCs w:val="16"/>
    </w:rPr>
  </w:style>
  <w:style w:type="paragraph" w:styleId="TOAHeading">
    <w:name w:val="toa heading"/>
    <w:basedOn w:val="Normal"/>
    <w:next w:val="Normal"/>
    <w:qFormat/>
    <w:pPr>
      <w:spacing w:before="120"/>
    </w:pPr>
    <w:rPr>
      <w:rFonts w:cs="Simplified Arabic"/>
      <w:b/>
      <w:bCs/>
    </w:rPr>
  </w:style>
  <w:style w:type="paragraph" w:styleId="CommentText">
    <w:name w:val="annotation text"/>
    <w:basedOn w:val="Normal"/>
    <w:link w:val="CommentTextChar"/>
    <w:qFormat/>
    <w:pPr>
      <w:spacing w:after="120"/>
    </w:pPr>
    <w:rPr>
      <w:rFonts w:cs="Simplified Arabic"/>
      <w:sz w:val="20"/>
      <w:szCs w:val="20"/>
    </w:rPr>
  </w:style>
  <w:style w:type="paragraph" w:styleId="Index6">
    <w:name w:val="index 6"/>
    <w:basedOn w:val="Normal"/>
    <w:next w:val="Normal"/>
    <w:qFormat/>
    <w:pPr>
      <w:ind w:left="1440" w:hanging="240"/>
    </w:pPr>
  </w:style>
  <w:style w:type="paragraph" w:styleId="Salutation">
    <w:name w:val="Salutation"/>
    <w:basedOn w:val="Normal"/>
    <w:next w:val="Normal"/>
    <w:link w:val="SalutationChar"/>
    <w:qFormat/>
    <w:rPr>
      <w:rFonts w:cs="Simplified Arabic"/>
    </w:rPr>
  </w:style>
  <w:style w:type="paragraph" w:styleId="BodyText3">
    <w:name w:val="Body Text 3"/>
    <w:basedOn w:val="Normal"/>
    <w:link w:val="BodyText3Char"/>
    <w:qFormat/>
    <w:pPr>
      <w:ind w:left="2160"/>
    </w:pPr>
    <w:rPr>
      <w:rFonts w:cs="Simplified Arabic"/>
      <w:lang w:eastAsia="en-GB"/>
    </w:rPr>
  </w:style>
  <w:style w:type="paragraph" w:styleId="Closing">
    <w:name w:val="Closing"/>
    <w:basedOn w:val="Normal"/>
    <w:link w:val="ClosingChar"/>
    <w:qFormat/>
    <w:pPr>
      <w:ind w:left="4320"/>
    </w:pPr>
    <w:rPr>
      <w:rFonts w:cs="Simplified Arabic"/>
    </w:rPr>
  </w:style>
  <w:style w:type="paragraph" w:styleId="BodyTextIndent">
    <w:name w:val="Body Text Indent"/>
    <w:basedOn w:val="Normal"/>
    <w:link w:val="BodyTextIndentChar"/>
    <w:qFormat/>
    <w:pPr>
      <w:spacing w:after="120"/>
      <w:ind w:left="283"/>
    </w:pPr>
    <w:rPr>
      <w:rFonts w:cs="Simplified Arabic"/>
    </w:rPr>
  </w:style>
  <w:style w:type="paragraph" w:styleId="List2">
    <w:name w:val="List 2"/>
    <w:basedOn w:val="Normal"/>
    <w:qFormat/>
    <w:pPr>
      <w:ind w:left="720" w:hanging="360"/>
      <w:contextualSpacing/>
    </w:pPr>
  </w:style>
  <w:style w:type="paragraph" w:styleId="ListContinue">
    <w:name w:val="List Continue"/>
    <w:basedOn w:val="Normal"/>
    <w:qFormat/>
    <w:pPr>
      <w:spacing w:after="120"/>
      <w:ind w:left="360"/>
      <w:contextualSpacing/>
    </w:pPr>
  </w:style>
  <w:style w:type="paragraph" w:styleId="BlockText">
    <w:name w:val="Block Text"/>
    <w:basedOn w:val="Normal"/>
    <w:qFormat/>
    <w:pPr>
      <w:spacing w:after="120"/>
      <w:ind w:left="1440" w:right="1440"/>
    </w:pPr>
  </w:style>
  <w:style w:type="paragraph" w:styleId="HTMLAddress">
    <w:name w:val="HTML Address"/>
    <w:basedOn w:val="Normal"/>
    <w:link w:val="HTMLAddressChar"/>
    <w:qFormat/>
    <w:rPr>
      <w:rFonts w:cs="Simplified Arabic"/>
      <w:i/>
      <w:iCs/>
    </w:rPr>
  </w:style>
  <w:style w:type="paragraph" w:styleId="Index4">
    <w:name w:val="index 4"/>
    <w:basedOn w:val="Normal"/>
    <w:next w:val="Normal"/>
    <w:qFormat/>
    <w:pPr>
      <w:ind w:left="960" w:hanging="240"/>
    </w:pPr>
  </w:style>
  <w:style w:type="paragraph" w:styleId="TOC5">
    <w:name w:val="toc 5"/>
    <w:basedOn w:val="Normal"/>
    <w:next w:val="Normal"/>
    <w:qFormat/>
    <w:pPr>
      <w:ind w:left="960"/>
    </w:pPr>
  </w:style>
  <w:style w:type="paragraph" w:styleId="TOC3">
    <w:name w:val="toc 3"/>
    <w:basedOn w:val="Normal"/>
    <w:next w:val="Normal"/>
    <w:qFormat/>
    <w:pPr>
      <w:ind w:left="480"/>
    </w:pPr>
  </w:style>
  <w:style w:type="paragraph" w:styleId="PlainText">
    <w:name w:val="Plain Text"/>
    <w:basedOn w:val="Normal"/>
    <w:link w:val="PlainTextChar"/>
    <w:qFormat/>
    <w:rPr>
      <w:rFonts w:ascii="Courier New" w:hAnsi="Courier New" w:cs="Courier New"/>
      <w:sz w:val="20"/>
      <w:szCs w:val="20"/>
    </w:rPr>
  </w:style>
  <w:style w:type="paragraph" w:styleId="TOC8">
    <w:name w:val="toc 8"/>
    <w:basedOn w:val="Normal"/>
    <w:next w:val="Normal"/>
    <w:qFormat/>
    <w:pPr>
      <w:ind w:left="1680"/>
    </w:pPr>
  </w:style>
  <w:style w:type="paragraph" w:styleId="Index3">
    <w:name w:val="index 3"/>
    <w:basedOn w:val="Normal"/>
    <w:next w:val="Normal"/>
    <w:qFormat/>
    <w:pPr>
      <w:ind w:left="720" w:hanging="240"/>
    </w:pPr>
  </w:style>
  <w:style w:type="paragraph" w:styleId="Date">
    <w:name w:val="Date"/>
    <w:basedOn w:val="Normal"/>
    <w:next w:val="Normal"/>
    <w:link w:val="DateChar"/>
    <w:qFormat/>
    <w:rPr>
      <w:rFonts w:cs="Simplified Arabic"/>
    </w:rPr>
  </w:style>
  <w:style w:type="paragraph" w:styleId="BodyTextIndent2">
    <w:name w:val="Body Text Indent 2"/>
    <w:basedOn w:val="Normal"/>
    <w:link w:val="BodyTextIndent2Char"/>
    <w:qFormat/>
    <w:pPr>
      <w:spacing w:after="120"/>
      <w:ind w:left="360"/>
    </w:pPr>
    <w:rPr>
      <w:rFonts w:cs="Simplified Arabic"/>
    </w:rPr>
  </w:style>
  <w:style w:type="paragraph" w:styleId="EndnoteText">
    <w:name w:val="endnote text"/>
    <w:basedOn w:val="Normal"/>
    <w:next w:val="Normal"/>
    <w:link w:val="EndnoteTextChar"/>
    <w:qFormat/>
    <w:pPr>
      <w:spacing w:after="120"/>
      <w:ind w:left="340" w:hanging="340"/>
    </w:pPr>
    <w:rPr>
      <w:rFonts w:cs="Simplified Arabic"/>
      <w:sz w:val="20"/>
      <w:szCs w:val="20"/>
    </w:rPr>
  </w:style>
  <w:style w:type="paragraph" w:styleId="ListContinue5">
    <w:name w:val="List Continue 5"/>
    <w:basedOn w:val="Normal"/>
    <w:qFormat/>
    <w:pPr>
      <w:spacing w:after="120"/>
      <w:ind w:left="1800"/>
      <w:contextualSpacing/>
    </w:pPr>
  </w:style>
  <w:style w:type="paragraph" w:styleId="BalloonText">
    <w:name w:val="Balloon Text"/>
    <w:basedOn w:val="Normal"/>
    <w:link w:val="BalloonTextChar"/>
    <w:qFormat/>
    <w:pPr>
      <w:spacing w:after="0"/>
    </w:pPr>
    <w:rPr>
      <w:rFonts w:ascii="Tahoma" w:hAnsi="Tahoma" w:cs="Tahoma"/>
      <w:sz w:val="16"/>
      <w:szCs w:val="16"/>
    </w:rPr>
  </w:style>
  <w:style w:type="paragraph" w:styleId="Footer">
    <w:name w:val="footer"/>
    <w:link w:val="FooterChar"/>
    <w:qFormat/>
    <w:rPr>
      <w:sz w:val="16"/>
      <w:szCs w:val="16"/>
      <w:lang w:val="en-GB" w:bidi="he-IL"/>
    </w:rPr>
  </w:style>
  <w:style w:type="paragraph" w:styleId="EnvelopeReturn">
    <w:name w:val="envelope return"/>
    <w:basedOn w:val="Normal"/>
    <w:qFormat/>
    <w:rPr>
      <w:rFonts w:cs="Simplified Arabic"/>
      <w:sz w:val="20"/>
      <w:szCs w:val="20"/>
    </w:rPr>
  </w:style>
  <w:style w:type="paragraph" w:styleId="Header">
    <w:name w:val="header"/>
    <w:link w:val="HeaderChar"/>
    <w:uiPriority w:val="99"/>
    <w:qFormat/>
    <w:pPr>
      <w:jc w:val="both"/>
    </w:pPr>
    <w:rPr>
      <w:sz w:val="24"/>
      <w:szCs w:val="24"/>
      <w:lang w:val="en-GB" w:bidi="he-IL"/>
    </w:rPr>
  </w:style>
  <w:style w:type="paragraph" w:styleId="Signature">
    <w:name w:val="Signature"/>
    <w:basedOn w:val="Normal"/>
    <w:link w:val="SignatureChar"/>
    <w:qFormat/>
    <w:pPr>
      <w:ind w:left="4320"/>
    </w:pPr>
    <w:rPr>
      <w:rFonts w:cs="Simplified Arabic"/>
    </w:rPr>
  </w:style>
  <w:style w:type="paragraph" w:styleId="TOC1">
    <w:name w:val="toc 1"/>
    <w:basedOn w:val="Normal"/>
    <w:next w:val="BodyText"/>
    <w:qForma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qFormat/>
    <w:pPr>
      <w:spacing w:after="120"/>
      <w:ind w:left="1440"/>
      <w:contextualSpacing/>
    </w:pPr>
  </w:style>
  <w:style w:type="paragraph" w:styleId="TOC4">
    <w:name w:val="toc 4"/>
    <w:basedOn w:val="Normal"/>
    <w:next w:val="Normal"/>
    <w:qFormat/>
    <w:pPr>
      <w:ind w:left="720"/>
    </w:pPr>
  </w:style>
  <w:style w:type="paragraph" w:styleId="IndexHeading">
    <w:name w:val="index heading"/>
    <w:basedOn w:val="Normal"/>
    <w:next w:val="Normal"/>
    <w:qFormat/>
    <w:rPr>
      <w:b/>
      <w:bCs/>
    </w:rPr>
  </w:style>
  <w:style w:type="paragraph" w:styleId="Subtitle">
    <w:name w:val="Subtitle"/>
    <w:basedOn w:val="Normal"/>
    <w:next w:val="BodyText"/>
    <w:link w:val="SubtitleChar"/>
    <w:qFormat/>
    <w:pPr>
      <w:jc w:val="center"/>
    </w:pPr>
    <w:rPr>
      <w:rFonts w:cs="Simplified Arabic"/>
    </w:rPr>
  </w:style>
  <w:style w:type="paragraph" w:styleId="List">
    <w:name w:val="List"/>
    <w:basedOn w:val="Normal"/>
    <w:qFormat/>
    <w:pPr>
      <w:ind w:left="360" w:hanging="360"/>
      <w:contextualSpacing/>
    </w:pPr>
  </w:style>
  <w:style w:type="paragraph" w:styleId="FootnoteText">
    <w:name w:val="footnote text"/>
    <w:basedOn w:val="Normal"/>
    <w:next w:val="Normal"/>
    <w:link w:val="FootnoteTextChar"/>
    <w:qFormat/>
    <w:pPr>
      <w:spacing w:after="120"/>
      <w:ind w:left="340" w:hanging="340"/>
    </w:pPr>
    <w:rPr>
      <w:rFonts w:cs="Simplified Arabic"/>
      <w:sz w:val="20"/>
      <w:szCs w:val="20"/>
    </w:rPr>
  </w:style>
  <w:style w:type="paragraph" w:styleId="TOC6">
    <w:name w:val="toc 6"/>
    <w:basedOn w:val="Normal"/>
    <w:next w:val="Normal"/>
    <w:qFormat/>
    <w:pPr>
      <w:ind w:left="1200"/>
    </w:pPr>
  </w:style>
  <w:style w:type="paragraph" w:styleId="List5">
    <w:name w:val="List 5"/>
    <w:basedOn w:val="Normal"/>
    <w:qFormat/>
    <w:pPr>
      <w:ind w:left="1800" w:hanging="360"/>
      <w:contextualSpacing/>
    </w:pPr>
  </w:style>
  <w:style w:type="paragraph" w:styleId="BodyTextIndent3">
    <w:name w:val="Body Text Indent 3"/>
    <w:basedOn w:val="Normal"/>
    <w:link w:val="BodyTextIndent3Char"/>
    <w:qFormat/>
    <w:pPr>
      <w:spacing w:after="120"/>
      <w:ind w:left="360"/>
    </w:pPr>
    <w:rPr>
      <w:rFonts w:cs="Simplified Arabic"/>
      <w:sz w:val="16"/>
      <w:szCs w:val="16"/>
    </w:rPr>
  </w:style>
  <w:style w:type="paragraph" w:styleId="Index7">
    <w:name w:val="index 7"/>
    <w:basedOn w:val="Normal"/>
    <w:next w:val="Normal"/>
    <w:qFormat/>
    <w:pPr>
      <w:ind w:left="1680" w:hanging="240"/>
    </w:pPr>
  </w:style>
  <w:style w:type="paragraph" w:styleId="Index9">
    <w:name w:val="index 9"/>
    <w:basedOn w:val="Normal"/>
    <w:next w:val="Normal"/>
    <w:qFormat/>
    <w:pPr>
      <w:ind w:left="2160" w:hanging="240"/>
    </w:pPr>
  </w:style>
  <w:style w:type="paragraph" w:styleId="TableofFigures">
    <w:name w:val="table of figures"/>
    <w:basedOn w:val="Normal"/>
    <w:next w:val="Normal"/>
    <w:qFormat/>
  </w:style>
  <w:style w:type="paragraph" w:styleId="TOC2">
    <w:name w:val="toc 2"/>
    <w:basedOn w:val="Normal"/>
    <w:next w:val="BodyText"/>
    <w:qForma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qFormat/>
    <w:pPr>
      <w:ind w:left="1920"/>
    </w:pPr>
  </w:style>
  <w:style w:type="paragraph" w:styleId="BodyText2">
    <w:name w:val="Body Text 2"/>
    <w:basedOn w:val="Normal"/>
    <w:link w:val="BodyText2Char"/>
    <w:qFormat/>
    <w:pPr>
      <w:ind w:left="1440"/>
    </w:pPr>
    <w:rPr>
      <w:rFonts w:cs="Simplified Arabic"/>
      <w:lang w:eastAsia="en-GB"/>
    </w:rPr>
  </w:style>
  <w:style w:type="paragraph" w:styleId="List4">
    <w:name w:val="List 4"/>
    <w:basedOn w:val="Normal"/>
    <w:qFormat/>
    <w:pPr>
      <w:ind w:left="1440" w:hanging="360"/>
      <w:contextualSpacing/>
    </w:pPr>
  </w:style>
  <w:style w:type="paragraph" w:styleId="ListContinue2">
    <w:name w:val="List Continue 2"/>
    <w:basedOn w:val="Normal"/>
    <w:qFormat/>
    <w:pPr>
      <w:spacing w:after="120"/>
      <w:ind w:left="720"/>
      <w:contextualSpacing/>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paragraph" w:styleId="HTMLPreformatted">
    <w:name w:val="HTML Preformatted"/>
    <w:basedOn w:val="Normal"/>
    <w:link w:val="HTMLPreformattedChar"/>
    <w:qFormat/>
    <w:rPr>
      <w:rFonts w:ascii="Courier New" w:hAnsi="Courier New" w:cs="Courier New"/>
      <w:sz w:val="20"/>
      <w:szCs w:val="20"/>
    </w:rPr>
  </w:style>
  <w:style w:type="paragraph" w:styleId="NormalWeb">
    <w:name w:val="Normal (Web)"/>
    <w:basedOn w:val="Normal"/>
    <w:qFormat/>
  </w:style>
  <w:style w:type="paragraph" w:styleId="ListContinue3">
    <w:name w:val="List Continue 3"/>
    <w:basedOn w:val="Normal"/>
    <w:qFormat/>
    <w:pPr>
      <w:spacing w:after="120"/>
      <w:ind w:left="1080"/>
      <w:contextualSpacing/>
    </w:pPr>
  </w:style>
  <w:style w:type="paragraph" w:styleId="Index1">
    <w:name w:val="index 1"/>
    <w:basedOn w:val="Normal"/>
    <w:next w:val="Normal"/>
    <w:qFormat/>
    <w:pPr>
      <w:ind w:left="240" w:hanging="240"/>
    </w:pPr>
  </w:style>
  <w:style w:type="paragraph" w:styleId="Index2">
    <w:name w:val="index 2"/>
    <w:basedOn w:val="Normal"/>
    <w:next w:val="Normal"/>
    <w:qFormat/>
    <w:pPr>
      <w:ind w:left="480" w:hanging="240"/>
    </w:pPr>
  </w:style>
  <w:style w:type="paragraph" w:styleId="Title">
    <w:name w:val="Title"/>
    <w:basedOn w:val="Normal"/>
    <w:next w:val="BodyText"/>
    <w:link w:val="TitleChar"/>
    <w:qFormat/>
    <w:pPr>
      <w:jc w:val="center"/>
    </w:pPr>
    <w:rPr>
      <w:rFonts w:cs="Simplified Arabic"/>
      <w:b/>
      <w:bCs/>
    </w:rPr>
  </w:style>
  <w:style w:type="paragraph" w:styleId="CommentSubject">
    <w:name w:val="annotation subject"/>
    <w:basedOn w:val="CommentText"/>
    <w:next w:val="CommentText"/>
    <w:link w:val="CommentSubjectChar"/>
    <w:qFormat/>
    <w:pPr>
      <w:spacing w:after="240"/>
    </w:pPr>
    <w:rPr>
      <w:b/>
      <w:bCs/>
    </w:rPr>
  </w:style>
  <w:style w:type="paragraph" w:styleId="BodyTextFirstIndent">
    <w:name w:val="Body Text First Indent"/>
    <w:basedOn w:val="BodyText"/>
    <w:link w:val="BodyTextFirstIndentChar"/>
    <w:qFormat/>
    <w:pPr>
      <w:ind w:firstLine="720"/>
    </w:pPr>
  </w:style>
  <w:style w:type="paragraph" w:styleId="BodyTextFirstIndent2">
    <w:name w:val="Body Text First Indent 2"/>
    <w:basedOn w:val="BodyTextFirstIndent"/>
    <w:link w:val="BodyTextFirstIndent2Char"/>
    <w:qFormat/>
    <w:pPr>
      <w:ind w:firstLine="1440"/>
    </w:p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qFormat/>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qFormat/>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qFormat/>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qFormat/>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qFormat/>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qFormat/>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qFormat/>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qFormat/>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qFormat/>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qFormat/>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qFormat/>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qFormat/>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qFormat/>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qFormat/>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qFormat/>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qFormat/>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qFormat/>
    <w:pPr>
      <w:spacing w:after="24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qFormat/>
    <w:pPr>
      <w:spacing w:after="240"/>
      <w:jc w:val="both"/>
    </w:p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qFormat/>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qFormat/>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qFormat/>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qFormat/>
    <w:pPr>
      <w:spacing w:after="24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qFormat/>
    <w:pPr>
      <w:spacing w:after="24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qFormat/>
    <w:pPr>
      <w:spacing w:after="24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qFormat/>
    <w:pPr>
      <w:spacing w:after="24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qFormat/>
    <w:pPr>
      <w:spacing w:after="24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qFormat/>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qFormat/>
    <w:pPr>
      <w:spacing w:after="24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qFormat/>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spacing w:after="24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qFormat/>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qFormat/>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qFormat/>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qFormat/>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qFormat/>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qFormat/>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qFormat/>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qFormat/>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qFormat/>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qFormat/>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qFormat/>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qFormat/>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LightGrid-Accent3">
    <w:name w:val="Light Grid Accent 3"/>
    <w:basedOn w:val="TableNormal"/>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LightGrid-Accent4">
    <w:name w:val="Light Grid Accent 4"/>
    <w:basedOn w:val="TableNormal"/>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LightGrid-Accent5">
    <w:name w:val="Light Grid Accent 5"/>
    <w:basedOn w:val="TableNormal"/>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LightGrid-Accent6">
    <w:name w:val="Light Grid Accent 6"/>
    <w:basedOn w:val="TableNormal"/>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MediumShading1-Accent2">
    <w:name w:val="Medium Shading 1 Accent 2"/>
    <w:basedOn w:val="TableNormal"/>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MediumShading2-Accent2">
    <w:name w:val="Medium Shading 2 Accent 2"/>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qFormat/>
    <w:rPr>
      <w:color w:val="000000"/>
    </w:rPr>
    <w:tblPr>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qFormat/>
    <w:rPr>
      <w:color w:val="000000"/>
    </w:rPr>
    <w:tblPr>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qFormat/>
    <w:rPr>
      <w:color w:val="000000"/>
    </w:rPr>
    <w:tblPr>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qFormat/>
    <w:rPr>
      <w:color w:val="000000"/>
    </w:rPr>
    <w:tblPr>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qFormat/>
    <w:rPr>
      <w:color w:val="000000"/>
    </w:rPr>
    <w:tblPr>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qFormat/>
    <w:rPr>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qFormat/>
    <w:rPr>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qFormat/>
    <w:rPr>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qFormat/>
    <w:rPr>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qFormat/>
    <w:rPr>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qFormat/>
    <w:rPr>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Accent1">
    <w:name w:val="Medium Grid 1 Accent 1"/>
    <w:basedOn w:val="TableNormal"/>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qFormat/>
    <w:rPr>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qFormat/>
    <w:rPr>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qFormat/>
    <w:rPr>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qFormat/>
    <w:rPr>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qFormat/>
    <w:rPr>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qFormat/>
    <w:rPr>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MediumGrid3-Accent2">
    <w:name w:val="Medium Grid 3 Accent 2"/>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MediumGrid3-Accent3">
    <w:name w:val="Medium Grid 3 Accent 3"/>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MediumGrid3-Accent4">
    <w:name w:val="Medium Grid 3 Accent 4"/>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MediumGrid3-Accent5">
    <w:name w:val="Medium Grid 3 Accent 5"/>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MediumGrid3-Accent6">
    <w:name w:val="Medium Grid 3 Accent 6"/>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DarkList-Accent1">
    <w:name w:val="Dark List Accent 1"/>
    <w:basedOn w:val="TableNormal"/>
    <w:qFormat/>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qFormat/>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qFormat/>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qFormat/>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qFormat/>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qFormat/>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qFormat/>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qFormat/>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qFormat/>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qFormat/>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qFormat/>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qFormat/>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qFormat/>
    <w:rPr>
      <w:rFonts w:ascii="Times New Roman" w:eastAsia="SimSun" w:hAnsi="Times New Roman" w:cs="Simplified Arabic"/>
      <w:sz w:val="18"/>
      <w:szCs w:val="18"/>
      <w:vertAlign w:val="superscript"/>
      <w:lang w:val="en-GB" w:bidi="ar-AE"/>
    </w:rPr>
  </w:style>
  <w:style w:type="character" w:styleId="PageNumber">
    <w:name w:val="page number"/>
    <w:qFormat/>
    <w:rPr>
      <w:rFonts w:ascii="Times New Roman" w:eastAsia="SimSun" w:hAnsi="Times New Roman" w:cs="Simplified Arabic"/>
      <w:sz w:val="24"/>
      <w:szCs w:val="24"/>
      <w:lang w:val="en-GB" w:bidi="ar-AE"/>
    </w:rPr>
  </w:style>
  <w:style w:type="character" w:styleId="FollowedHyperlink">
    <w:name w:val="FollowedHyperlink"/>
    <w:qFormat/>
    <w:rPr>
      <w:color w:val="800080"/>
      <w:u w:val="single"/>
    </w:rPr>
  </w:style>
  <w:style w:type="character" w:styleId="Emphasis">
    <w:name w:val="Emphasis"/>
    <w:qFormat/>
    <w:rPr>
      <w:i/>
      <w:iCs/>
    </w:rPr>
  </w:style>
  <w:style w:type="character" w:styleId="Hyperlink">
    <w:name w:val="Hyperlink"/>
    <w:uiPriority w:val="99"/>
    <w:qFormat/>
    <w:rPr>
      <w:color w:val="0000FF"/>
      <w:u w:val="single"/>
    </w:rPr>
  </w:style>
  <w:style w:type="character" w:styleId="CommentReference">
    <w:name w:val="annotation reference"/>
    <w:qFormat/>
    <w:rPr>
      <w:rFonts w:ascii="Times New Roman" w:eastAsia="SimSun" w:hAnsi="Times New Roman" w:cs="Simplified Arabic"/>
      <w:sz w:val="18"/>
      <w:szCs w:val="18"/>
      <w:lang w:val="en-GB" w:bidi="ar-AE"/>
    </w:rPr>
  </w:style>
  <w:style w:type="character" w:styleId="FootnoteReference">
    <w:name w:val="footnote reference"/>
    <w:qFormat/>
    <w:rPr>
      <w:rFonts w:ascii="Times New Roman" w:eastAsia="SimSun" w:hAnsi="Times New Roman" w:cs="Simplified Arabic"/>
      <w:sz w:val="18"/>
      <w:szCs w:val="18"/>
      <w:vertAlign w:val="superscript"/>
      <w:lang w:bidi="ar-AE"/>
    </w:rPr>
  </w:style>
  <w:style w:type="character" w:customStyle="1" w:styleId="MacroTextChar">
    <w:name w:val="Macro Text Char"/>
    <w:link w:val="MacroText"/>
    <w:qFormat/>
    <w:rPr>
      <w:rFonts w:ascii="Courier New" w:hAnsi="Courier New" w:cs="Courier New"/>
      <w:lang w:val="en-GB" w:eastAsia="zh-CN" w:bidi="ar-AE"/>
    </w:rPr>
  </w:style>
  <w:style w:type="character" w:customStyle="1" w:styleId="Heading1Char">
    <w:name w:val="Heading 1 Char"/>
    <w:link w:val="Heading1"/>
    <w:qFormat/>
    <w:rPr>
      <w:sz w:val="24"/>
      <w:szCs w:val="24"/>
      <w:lang w:bidi="ar-AE"/>
    </w:rPr>
  </w:style>
  <w:style w:type="character" w:customStyle="1" w:styleId="Heading2Char">
    <w:name w:val="Heading 2 Char"/>
    <w:link w:val="Heading2"/>
    <w:qFormat/>
    <w:rPr>
      <w:sz w:val="24"/>
      <w:szCs w:val="24"/>
      <w:lang w:bidi="ar-AE"/>
    </w:rPr>
  </w:style>
  <w:style w:type="character" w:customStyle="1" w:styleId="BodyTextChar">
    <w:name w:val="Body Text Char"/>
    <w:link w:val="BodyText"/>
    <w:qFormat/>
    <w:rPr>
      <w:sz w:val="24"/>
      <w:szCs w:val="24"/>
      <w:lang w:eastAsia="en-GB" w:bidi="ar-AE"/>
    </w:rPr>
  </w:style>
  <w:style w:type="character" w:customStyle="1" w:styleId="Heading3Char">
    <w:name w:val="Heading 3 Char"/>
    <w:link w:val="Heading3"/>
    <w:qFormat/>
    <w:rPr>
      <w:sz w:val="24"/>
      <w:szCs w:val="24"/>
      <w:lang w:bidi="ar-AE"/>
    </w:rPr>
  </w:style>
  <w:style w:type="character" w:customStyle="1" w:styleId="Heading4Char">
    <w:name w:val="Heading 4 Char"/>
    <w:link w:val="Heading4"/>
    <w:qFormat/>
    <w:rPr>
      <w:sz w:val="24"/>
      <w:szCs w:val="24"/>
      <w:lang w:bidi="ar-AE"/>
    </w:rPr>
  </w:style>
  <w:style w:type="character" w:customStyle="1" w:styleId="Heading5Char">
    <w:name w:val="Heading 5 Char"/>
    <w:link w:val="Heading5"/>
    <w:qFormat/>
    <w:rPr>
      <w:sz w:val="24"/>
      <w:szCs w:val="24"/>
      <w:lang w:bidi="ar-AE"/>
    </w:rPr>
  </w:style>
  <w:style w:type="character" w:customStyle="1" w:styleId="Heading6Char">
    <w:name w:val="Heading 6 Char"/>
    <w:link w:val="Heading6"/>
    <w:qFormat/>
    <w:rPr>
      <w:sz w:val="24"/>
      <w:szCs w:val="24"/>
      <w:lang w:bidi="ar-AE"/>
    </w:rPr>
  </w:style>
  <w:style w:type="character" w:customStyle="1" w:styleId="Heading7Char">
    <w:name w:val="Heading 7 Char"/>
    <w:link w:val="Heading7"/>
    <w:qFormat/>
    <w:rPr>
      <w:sz w:val="24"/>
      <w:szCs w:val="24"/>
      <w:lang w:bidi="ar-AE"/>
    </w:rPr>
  </w:style>
  <w:style w:type="character" w:customStyle="1" w:styleId="Heading8Char">
    <w:name w:val="Heading 8 Char"/>
    <w:link w:val="Heading8"/>
    <w:qFormat/>
    <w:rPr>
      <w:sz w:val="24"/>
      <w:szCs w:val="24"/>
      <w:lang w:bidi="ar-AE"/>
    </w:rPr>
  </w:style>
  <w:style w:type="character" w:customStyle="1" w:styleId="Heading9Char">
    <w:name w:val="Heading 9 Char"/>
    <w:link w:val="Heading9"/>
    <w:qFormat/>
    <w:rPr>
      <w:sz w:val="24"/>
      <w:szCs w:val="24"/>
      <w:lang w:bidi="ar-AE"/>
    </w:rPr>
  </w:style>
  <w:style w:type="character" w:customStyle="1" w:styleId="NoteHeadingChar">
    <w:name w:val="Note Heading Char"/>
    <w:link w:val="NoteHeading"/>
    <w:qFormat/>
    <w:rPr>
      <w:sz w:val="24"/>
      <w:szCs w:val="24"/>
      <w:lang w:bidi="ar-AE"/>
    </w:rPr>
  </w:style>
  <w:style w:type="character" w:customStyle="1" w:styleId="E-mailSignatureChar">
    <w:name w:val="E-mail Signature Char"/>
    <w:link w:val="E-mailSignature"/>
    <w:qFormat/>
    <w:rPr>
      <w:sz w:val="24"/>
      <w:szCs w:val="24"/>
      <w:lang w:bidi="ar-AE"/>
    </w:rPr>
  </w:style>
  <w:style w:type="character" w:customStyle="1" w:styleId="DocumentMapChar">
    <w:name w:val="Document Map Char"/>
    <w:link w:val="DocumentMap"/>
    <w:qFormat/>
    <w:rPr>
      <w:rFonts w:ascii="Tahoma" w:hAnsi="Tahoma" w:cs="Tahoma"/>
      <w:sz w:val="16"/>
      <w:szCs w:val="16"/>
      <w:lang w:bidi="ar-AE"/>
    </w:rPr>
  </w:style>
  <w:style w:type="character" w:customStyle="1" w:styleId="CommentTextChar">
    <w:name w:val="Comment Text Char"/>
    <w:link w:val="CommentText"/>
    <w:qFormat/>
    <w:rPr>
      <w:lang w:bidi="ar-AE"/>
    </w:rPr>
  </w:style>
  <w:style w:type="character" w:customStyle="1" w:styleId="SalutationChar">
    <w:name w:val="Salutation Char"/>
    <w:link w:val="Salutation"/>
    <w:qFormat/>
    <w:rPr>
      <w:sz w:val="24"/>
      <w:szCs w:val="24"/>
      <w:lang w:bidi="ar-AE"/>
    </w:rPr>
  </w:style>
  <w:style w:type="character" w:customStyle="1" w:styleId="BodyText3Char">
    <w:name w:val="Body Text 3 Char"/>
    <w:link w:val="BodyText3"/>
    <w:qFormat/>
    <w:rPr>
      <w:sz w:val="24"/>
      <w:szCs w:val="24"/>
      <w:lang w:eastAsia="en-GB" w:bidi="ar-AE"/>
    </w:rPr>
  </w:style>
  <w:style w:type="character" w:customStyle="1" w:styleId="ClosingChar">
    <w:name w:val="Closing Char"/>
    <w:link w:val="Closing"/>
    <w:qFormat/>
    <w:rPr>
      <w:sz w:val="24"/>
      <w:szCs w:val="24"/>
      <w:lang w:bidi="ar-AE"/>
    </w:rPr>
  </w:style>
  <w:style w:type="character" w:customStyle="1" w:styleId="BodyTextIndentChar">
    <w:name w:val="Body Text Indent Char"/>
    <w:link w:val="BodyTextIndent"/>
    <w:qFormat/>
    <w:rPr>
      <w:sz w:val="24"/>
      <w:szCs w:val="24"/>
      <w:lang w:bidi="ar-AE"/>
    </w:rPr>
  </w:style>
  <w:style w:type="character" w:customStyle="1" w:styleId="HTMLAddressChar">
    <w:name w:val="HTML Address Char"/>
    <w:link w:val="HTMLAddress"/>
    <w:qFormat/>
    <w:rPr>
      <w:i/>
      <w:iCs/>
      <w:sz w:val="24"/>
      <w:szCs w:val="24"/>
      <w:lang w:bidi="ar-AE"/>
    </w:rPr>
  </w:style>
  <w:style w:type="character" w:customStyle="1" w:styleId="PlainTextChar">
    <w:name w:val="Plain Text Char"/>
    <w:link w:val="PlainText"/>
    <w:qFormat/>
    <w:rPr>
      <w:rFonts w:ascii="Courier New" w:hAnsi="Courier New" w:cs="Courier New"/>
      <w:lang w:bidi="ar-AE"/>
    </w:rPr>
  </w:style>
  <w:style w:type="character" w:customStyle="1" w:styleId="DateChar">
    <w:name w:val="Date Char"/>
    <w:link w:val="Date"/>
    <w:qFormat/>
    <w:rPr>
      <w:sz w:val="24"/>
      <w:szCs w:val="24"/>
      <w:lang w:bidi="ar-AE"/>
    </w:rPr>
  </w:style>
  <w:style w:type="character" w:customStyle="1" w:styleId="BodyTextIndent2Char">
    <w:name w:val="Body Text Indent 2 Char"/>
    <w:link w:val="BodyTextIndent2"/>
    <w:qFormat/>
    <w:rPr>
      <w:sz w:val="24"/>
      <w:szCs w:val="24"/>
      <w:lang w:bidi="ar-AE"/>
    </w:rPr>
  </w:style>
  <w:style w:type="character" w:customStyle="1" w:styleId="EndnoteTextChar">
    <w:name w:val="Endnote Text Char"/>
    <w:link w:val="EndnoteText"/>
    <w:qFormat/>
    <w:rPr>
      <w:lang w:bidi="ar-AE"/>
    </w:rPr>
  </w:style>
  <w:style w:type="character" w:customStyle="1" w:styleId="BalloonTextChar">
    <w:name w:val="Balloon Text Char"/>
    <w:link w:val="BalloonText"/>
    <w:qFormat/>
    <w:rPr>
      <w:rFonts w:ascii="Tahoma" w:hAnsi="Tahoma" w:cs="Tahoma"/>
      <w:sz w:val="16"/>
      <w:szCs w:val="16"/>
      <w:lang w:bidi="ar-AE"/>
    </w:rPr>
  </w:style>
  <w:style w:type="character" w:customStyle="1" w:styleId="FooterChar">
    <w:name w:val="Footer Char"/>
    <w:link w:val="Footer"/>
    <w:qFormat/>
    <w:rPr>
      <w:sz w:val="16"/>
      <w:szCs w:val="16"/>
      <w:lang w:val="en-GB" w:eastAsia="zh-CN" w:bidi="he-IL"/>
    </w:rPr>
  </w:style>
  <w:style w:type="character" w:customStyle="1" w:styleId="HeaderChar">
    <w:name w:val="Header Char"/>
    <w:link w:val="Header"/>
    <w:uiPriority w:val="99"/>
    <w:qFormat/>
    <w:rPr>
      <w:sz w:val="24"/>
      <w:szCs w:val="24"/>
      <w:lang w:val="en-GB" w:eastAsia="zh-CN" w:bidi="he-IL"/>
    </w:rPr>
  </w:style>
  <w:style w:type="character" w:customStyle="1" w:styleId="SignatureChar">
    <w:name w:val="Signature Char"/>
    <w:link w:val="Signature"/>
    <w:qFormat/>
    <w:rPr>
      <w:sz w:val="24"/>
      <w:szCs w:val="24"/>
      <w:lang w:bidi="ar-AE"/>
    </w:rPr>
  </w:style>
  <w:style w:type="character" w:customStyle="1" w:styleId="SubtitleChar">
    <w:name w:val="Subtitle Char"/>
    <w:link w:val="Subtitle"/>
    <w:qFormat/>
    <w:rPr>
      <w:sz w:val="24"/>
      <w:szCs w:val="24"/>
      <w:lang w:bidi="ar-AE"/>
    </w:rPr>
  </w:style>
  <w:style w:type="character" w:customStyle="1" w:styleId="FootnoteTextChar">
    <w:name w:val="Footnote Text Char"/>
    <w:link w:val="FootnoteText"/>
    <w:qFormat/>
    <w:rPr>
      <w:lang w:bidi="ar-AE"/>
    </w:rPr>
  </w:style>
  <w:style w:type="character" w:customStyle="1" w:styleId="BodyTextIndent3Char">
    <w:name w:val="Body Text Indent 3 Char"/>
    <w:link w:val="BodyTextIndent3"/>
    <w:qFormat/>
    <w:rPr>
      <w:sz w:val="16"/>
      <w:szCs w:val="16"/>
      <w:lang w:bidi="ar-AE"/>
    </w:rPr>
  </w:style>
  <w:style w:type="character" w:customStyle="1" w:styleId="BodyText2Char">
    <w:name w:val="Body Text 2 Char"/>
    <w:link w:val="BodyText2"/>
    <w:qFormat/>
    <w:rPr>
      <w:sz w:val="24"/>
      <w:szCs w:val="24"/>
      <w:lang w:eastAsia="en-GB" w:bidi="ar-AE"/>
    </w:rPr>
  </w:style>
  <w:style w:type="character" w:customStyle="1" w:styleId="MessageHeaderChar">
    <w:name w:val="Message Header Char"/>
    <w:link w:val="MessageHeader"/>
    <w:qFormat/>
    <w:rPr>
      <w:rFonts w:ascii="Times New Roman" w:eastAsia="SimSun" w:hAnsi="Times New Roman" w:cs="Simplified Arabic"/>
      <w:sz w:val="24"/>
      <w:szCs w:val="24"/>
      <w:shd w:val="pct20" w:color="auto" w:fill="auto"/>
      <w:lang w:bidi="ar-AE"/>
    </w:rPr>
  </w:style>
  <w:style w:type="character" w:customStyle="1" w:styleId="HTMLPreformattedChar">
    <w:name w:val="HTML Preformatted Char"/>
    <w:link w:val="HTMLPreformatted"/>
    <w:qFormat/>
    <w:rPr>
      <w:rFonts w:ascii="Courier New" w:hAnsi="Courier New" w:cs="Courier New"/>
      <w:lang w:bidi="ar-AE"/>
    </w:rPr>
  </w:style>
  <w:style w:type="character" w:customStyle="1" w:styleId="TitleChar">
    <w:name w:val="Title Char"/>
    <w:link w:val="Title"/>
    <w:qFormat/>
    <w:rPr>
      <w:b/>
      <w:bCs/>
      <w:sz w:val="24"/>
      <w:szCs w:val="24"/>
      <w:lang w:bidi="ar-AE"/>
    </w:rPr>
  </w:style>
  <w:style w:type="character" w:customStyle="1" w:styleId="CommentSubjectChar">
    <w:name w:val="Comment Subject Char"/>
    <w:link w:val="CommentSubject"/>
    <w:qFormat/>
    <w:rPr>
      <w:b/>
      <w:bCs/>
      <w:lang w:bidi="ar-AE"/>
    </w:rPr>
  </w:style>
  <w:style w:type="character" w:customStyle="1" w:styleId="BodyTextFirstIndentChar">
    <w:name w:val="Body Text First Indent Char"/>
    <w:link w:val="BodyTextFirstIndent"/>
    <w:qFormat/>
    <w:rPr>
      <w:sz w:val="24"/>
      <w:szCs w:val="24"/>
      <w:lang w:eastAsia="en-GB" w:bidi="ar-AE"/>
    </w:rPr>
  </w:style>
  <w:style w:type="character" w:customStyle="1" w:styleId="BodyTextFirstIndent2Char">
    <w:name w:val="Body Text First Indent 2 Char"/>
    <w:link w:val="BodyTextFirstIndent2"/>
    <w:qFormat/>
    <w:rPr>
      <w:sz w:val="24"/>
      <w:szCs w:val="24"/>
      <w:lang w:eastAsia="en-GB" w:bidi="ar-AE"/>
    </w:rPr>
  </w:style>
  <w:style w:type="paragraph" w:customStyle="1" w:styleId="BodyText1">
    <w:name w:val="Body Text 1"/>
    <w:basedOn w:val="Normal"/>
    <w:qFormat/>
    <w:pPr>
      <w:ind w:left="720"/>
    </w:pPr>
    <w:rPr>
      <w:lang w:eastAsia="en-GB"/>
    </w:rPr>
  </w:style>
  <w:style w:type="paragraph" w:customStyle="1" w:styleId="BodyText4">
    <w:name w:val="Body Text 4"/>
    <w:basedOn w:val="Normal"/>
    <w:qFormat/>
    <w:pPr>
      <w:ind w:left="2880"/>
    </w:pPr>
    <w:rPr>
      <w:lang w:eastAsia="en-GB"/>
    </w:rPr>
  </w:style>
  <w:style w:type="paragraph" w:customStyle="1" w:styleId="BodyText5">
    <w:name w:val="Body Text 5"/>
    <w:basedOn w:val="Normal"/>
    <w:qFormat/>
    <w:pPr>
      <w:ind w:left="3600"/>
    </w:pPr>
    <w:rPr>
      <w:lang w:eastAsia="en-GB"/>
    </w:rPr>
  </w:style>
  <w:style w:type="paragraph" w:customStyle="1" w:styleId="BodyText6">
    <w:name w:val="Body Text 6"/>
    <w:basedOn w:val="Normal"/>
    <w:qFormat/>
    <w:pPr>
      <w:ind w:left="4320"/>
    </w:pPr>
    <w:rPr>
      <w:lang w:eastAsia="en-GB"/>
    </w:rPr>
  </w:style>
  <w:style w:type="paragraph" w:customStyle="1" w:styleId="BodyText7">
    <w:name w:val="Body Text 7"/>
    <w:basedOn w:val="Normal"/>
    <w:qFormat/>
    <w:pPr>
      <w:ind w:left="5041"/>
    </w:pPr>
    <w:rPr>
      <w:lang w:eastAsia="en-GB"/>
    </w:rPr>
  </w:style>
  <w:style w:type="paragraph" w:customStyle="1" w:styleId="FooterRight">
    <w:name w:val="Footer Right"/>
    <w:basedOn w:val="Footer"/>
    <w:qFormat/>
    <w:pPr>
      <w:jc w:val="right"/>
    </w:pPr>
  </w:style>
  <w:style w:type="paragraph" w:customStyle="1" w:styleId="Footnote">
    <w:name w:val="Footnote"/>
    <w:basedOn w:val="FootnoteText"/>
    <w:qForma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qFormat/>
    <w:rPr>
      <w:b/>
      <w:bCs/>
    </w:rPr>
  </w:style>
  <w:style w:type="paragraph" w:customStyle="1" w:styleId="NormalBoldNS">
    <w:name w:val="NormalBoldNS"/>
    <w:basedOn w:val="Normal"/>
    <w:next w:val="Normal"/>
    <w:qFormat/>
    <w:pPr>
      <w:spacing w:after="0"/>
      <w:jc w:val="left"/>
    </w:pPr>
    <w:rPr>
      <w:b/>
      <w:bCs/>
    </w:rPr>
  </w:style>
  <w:style w:type="paragraph" w:customStyle="1" w:styleId="NormalNS">
    <w:name w:val="NormalNS"/>
    <w:basedOn w:val="Normal"/>
    <w:qFormat/>
    <w:pPr>
      <w:spacing w:after="0"/>
    </w:pPr>
  </w:style>
  <w:style w:type="paragraph" w:customStyle="1" w:styleId="NormalRight">
    <w:name w:val="NormalRight"/>
    <w:basedOn w:val="NormalNS"/>
    <w:qFormat/>
    <w:pPr>
      <w:jc w:val="right"/>
    </w:pPr>
  </w:style>
  <w:style w:type="paragraph" w:customStyle="1" w:styleId="NoteContinuation">
    <w:name w:val="Note Continuation"/>
    <w:basedOn w:val="Normal"/>
    <w:qFormat/>
    <w:pPr>
      <w:spacing w:after="120"/>
      <w:ind w:left="340"/>
    </w:pPr>
    <w:rPr>
      <w:sz w:val="20"/>
      <w:szCs w:val="20"/>
    </w:rPr>
  </w:style>
  <w:style w:type="paragraph" w:customStyle="1" w:styleId="TOCHeading1">
    <w:name w:val="TOC Heading1"/>
    <w:basedOn w:val="Normal"/>
    <w:next w:val="Normal"/>
    <w:qFormat/>
    <w:pPr>
      <w:jc w:val="center"/>
    </w:pPr>
    <w:rPr>
      <w:b/>
      <w:bCs/>
      <w:caps/>
    </w:rPr>
  </w:style>
  <w:style w:type="paragraph" w:customStyle="1" w:styleId="BGHStandard">
    <w:name w:val="BGH Standard"/>
    <w:basedOn w:val="Normal"/>
    <w:qFormat/>
    <w:pPr>
      <w:ind w:left="1985"/>
    </w:pPr>
    <w:rPr>
      <w:lang w:eastAsia="en-GB"/>
    </w:rPr>
  </w:style>
  <w:style w:type="paragraph" w:customStyle="1" w:styleId="NormalRight12">
    <w:name w:val="NormalRight12"/>
    <w:basedOn w:val="NormalRight"/>
    <w:qFormat/>
    <w:pPr>
      <w:spacing w:after="240"/>
    </w:pPr>
  </w:style>
  <w:style w:type="paragraph" w:customStyle="1" w:styleId="SubTitle0">
    <w:name w:val="SubTitle0"/>
    <w:basedOn w:val="Subtitle"/>
    <w:qFormat/>
    <w:pPr>
      <w:spacing w:after="0"/>
    </w:pPr>
  </w:style>
  <w:style w:type="paragraph" w:customStyle="1" w:styleId="OptionLabel">
    <w:name w:val="OptionLabel"/>
    <w:qFormat/>
    <w:rPr>
      <w:b/>
      <w:bCs/>
      <w:sz w:val="24"/>
      <w:szCs w:val="24"/>
      <w:lang w:val="en-GB" w:bidi="ar-AE"/>
    </w:rPr>
  </w:style>
  <w:style w:type="paragraph" w:customStyle="1" w:styleId="NormalLeft0">
    <w:name w:val="NormalLeft"/>
    <w:basedOn w:val="Normal"/>
    <w:next w:val="Normal"/>
    <w:qFormat/>
    <w:pPr>
      <w:jc w:val="left"/>
    </w:pPr>
  </w:style>
  <w:style w:type="paragraph" w:customStyle="1" w:styleId="Bibliography1">
    <w:name w:val="Bibliography1"/>
    <w:basedOn w:val="Normal"/>
    <w:next w:val="Normal"/>
    <w:qFormat/>
  </w:style>
  <w:style w:type="table" w:customStyle="1" w:styleId="ColorfulGrid1">
    <w:name w:val="Colorful Grid1"/>
    <w:basedOn w:val="TableNormal"/>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qFormat/>
    <w:rPr>
      <w:color w:val="000000"/>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qFormat/>
    <w:rPr>
      <w:color w:val="FFFFFF"/>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qFormat/>
    <w:rPr>
      <w:b/>
      <w:bCs/>
      <w:i/>
      <w:iCs/>
      <w:color w:val="4F81BD"/>
      <w:sz w:val="24"/>
      <w:szCs w:val="24"/>
      <w:lang w:bidi="ar-AE"/>
    </w:rPr>
  </w:style>
  <w:style w:type="table" w:customStyle="1" w:styleId="LightGrid1">
    <w:name w:val="Light Grid1"/>
    <w:basedOn w:val="TableNormal"/>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LightGrid-Accent11">
    <w:name w:val="Light Grid - Accent 11"/>
    <w:basedOn w:val="TableNormal"/>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LightList1">
    <w:name w:val="Light List1"/>
    <w:basedOn w:val="TableNormal"/>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qFormat/>
    <w:rPr>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MediumList11">
    <w:name w:val="Medium List 11"/>
    <w:basedOn w:val="TableNormal"/>
    <w:qFormat/>
    <w:rPr>
      <w:color w:val="000000"/>
    </w:rPr>
    <w:tblPr>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qFormat/>
    <w:rPr>
      <w:color w:val="000000"/>
    </w:rPr>
    <w:tblPr>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qFormat/>
    <w:rPr>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qFormat/>
    <w:rPr>
      <w:i/>
      <w:iCs/>
      <w:color w:val="000000"/>
      <w:sz w:val="24"/>
      <w:szCs w:val="24"/>
      <w:lang w:bidi="ar-AE"/>
    </w:rPr>
  </w:style>
  <w:style w:type="paragraph" w:customStyle="1" w:styleId="StandardL9">
    <w:name w:val="Standard L9"/>
    <w:basedOn w:val="Normal"/>
    <w:next w:val="BodyText3"/>
    <w:link w:val="StandardL9Char"/>
    <w:qFormat/>
    <w:pPr>
      <w:numPr>
        <w:ilvl w:val="8"/>
        <w:numId w:val="1"/>
      </w:numPr>
      <w:outlineLvl w:val="8"/>
    </w:pPr>
    <w:rPr>
      <w:rFonts w:cs="Simplified Arabic"/>
    </w:rPr>
  </w:style>
  <w:style w:type="character" w:customStyle="1" w:styleId="StandardL9Char">
    <w:name w:val="Standard L9 Char"/>
    <w:link w:val="StandardL9"/>
    <w:qFormat/>
    <w:rPr>
      <w:sz w:val="24"/>
      <w:szCs w:val="24"/>
      <w:lang w:bidi="ar-AE"/>
    </w:rPr>
  </w:style>
  <w:style w:type="paragraph" w:customStyle="1" w:styleId="StandardL8">
    <w:name w:val="Standard L8"/>
    <w:basedOn w:val="Normal"/>
    <w:next w:val="BodyText2"/>
    <w:link w:val="StandardL8Char"/>
    <w:qFormat/>
    <w:pPr>
      <w:numPr>
        <w:ilvl w:val="7"/>
        <w:numId w:val="1"/>
      </w:numPr>
      <w:outlineLvl w:val="7"/>
    </w:pPr>
    <w:rPr>
      <w:rFonts w:cs="Simplified Arabic"/>
    </w:rPr>
  </w:style>
  <w:style w:type="character" w:customStyle="1" w:styleId="StandardL8Char">
    <w:name w:val="Standard L8 Char"/>
    <w:link w:val="StandardL8"/>
    <w:qFormat/>
    <w:rPr>
      <w:sz w:val="24"/>
      <w:szCs w:val="24"/>
      <w:lang w:bidi="ar-AE"/>
    </w:rPr>
  </w:style>
  <w:style w:type="paragraph" w:customStyle="1" w:styleId="StandardL7">
    <w:name w:val="Standard L7"/>
    <w:basedOn w:val="Normal"/>
    <w:next w:val="BodyText6"/>
    <w:link w:val="StandardL7Char"/>
    <w:qFormat/>
    <w:pPr>
      <w:numPr>
        <w:ilvl w:val="6"/>
        <w:numId w:val="1"/>
      </w:numPr>
      <w:outlineLvl w:val="6"/>
    </w:pPr>
    <w:rPr>
      <w:rFonts w:cs="Simplified Arabic"/>
    </w:rPr>
  </w:style>
  <w:style w:type="character" w:customStyle="1" w:styleId="StandardL7Char">
    <w:name w:val="Standard L7 Char"/>
    <w:link w:val="StandardL7"/>
    <w:qFormat/>
    <w:rPr>
      <w:sz w:val="24"/>
      <w:szCs w:val="24"/>
      <w:lang w:bidi="ar-AE"/>
    </w:rPr>
  </w:style>
  <w:style w:type="paragraph" w:customStyle="1" w:styleId="StandardL6">
    <w:name w:val="Standard L6"/>
    <w:basedOn w:val="Normal"/>
    <w:next w:val="BodyText5"/>
    <w:link w:val="StandardL6Char"/>
    <w:qFormat/>
    <w:pPr>
      <w:numPr>
        <w:ilvl w:val="5"/>
        <w:numId w:val="1"/>
      </w:numPr>
      <w:outlineLvl w:val="5"/>
    </w:pPr>
    <w:rPr>
      <w:rFonts w:cs="Simplified Arabic"/>
    </w:rPr>
  </w:style>
  <w:style w:type="character" w:customStyle="1" w:styleId="StandardL6Char">
    <w:name w:val="Standard L6 Char"/>
    <w:link w:val="StandardL6"/>
    <w:qFormat/>
    <w:rPr>
      <w:sz w:val="24"/>
      <w:szCs w:val="24"/>
      <w:lang w:bidi="ar-AE"/>
    </w:rPr>
  </w:style>
  <w:style w:type="paragraph" w:customStyle="1" w:styleId="StandardL5">
    <w:name w:val="Standard L5"/>
    <w:basedOn w:val="Normal"/>
    <w:next w:val="BodyText4"/>
    <w:link w:val="StandardL5Char"/>
    <w:qFormat/>
    <w:pPr>
      <w:numPr>
        <w:ilvl w:val="4"/>
        <w:numId w:val="1"/>
      </w:numPr>
      <w:outlineLvl w:val="4"/>
    </w:pPr>
    <w:rPr>
      <w:rFonts w:cs="Simplified Arabic"/>
    </w:rPr>
  </w:style>
  <w:style w:type="character" w:customStyle="1" w:styleId="StandardL5Char">
    <w:name w:val="Standard L5 Char"/>
    <w:link w:val="StandardL5"/>
    <w:qFormat/>
    <w:rPr>
      <w:sz w:val="24"/>
      <w:szCs w:val="24"/>
      <w:lang w:bidi="ar-AE"/>
    </w:rPr>
  </w:style>
  <w:style w:type="paragraph" w:customStyle="1" w:styleId="BulletL9">
    <w:name w:val="Bullet L9"/>
    <w:basedOn w:val="Normal"/>
    <w:link w:val="BulletL9Char"/>
    <w:qFormat/>
    <w:pPr>
      <w:numPr>
        <w:ilvl w:val="8"/>
        <w:numId w:val="2"/>
      </w:numPr>
      <w:outlineLvl w:val="8"/>
    </w:pPr>
    <w:rPr>
      <w:rFonts w:cs="Simplified Arabic"/>
    </w:rPr>
  </w:style>
  <w:style w:type="character" w:customStyle="1" w:styleId="BulletL9Char">
    <w:name w:val="Bullet L9 Char"/>
    <w:link w:val="BulletL9"/>
    <w:qFormat/>
    <w:rPr>
      <w:sz w:val="24"/>
      <w:szCs w:val="24"/>
      <w:lang w:bidi="ar-AE"/>
    </w:rPr>
  </w:style>
  <w:style w:type="paragraph" w:customStyle="1" w:styleId="BulletL8">
    <w:name w:val="Bullet L8"/>
    <w:basedOn w:val="Normal"/>
    <w:link w:val="BulletL8Char"/>
    <w:qFormat/>
    <w:pPr>
      <w:numPr>
        <w:ilvl w:val="7"/>
        <w:numId w:val="2"/>
      </w:numPr>
      <w:outlineLvl w:val="7"/>
    </w:pPr>
    <w:rPr>
      <w:rFonts w:cs="Simplified Arabic"/>
    </w:rPr>
  </w:style>
  <w:style w:type="character" w:customStyle="1" w:styleId="BulletL8Char">
    <w:name w:val="Bullet L8 Char"/>
    <w:link w:val="BulletL8"/>
    <w:qFormat/>
    <w:rPr>
      <w:sz w:val="24"/>
      <w:szCs w:val="24"/>
      <w:lang w:bidi="ar-AE"/>
    </w:rPr>
  </w:style>
  <w:style w:type="paragraph" w:customStyle="1" w:styleId="BulletL7">
    <w:name w:val="Bullet L7"/>
    <w:basedOn w:val="Normal"/>
    <w:link w:val="BulletL7Char"/>
    <w:qFormat/>
    <w:pPr>
      <w:numPr>
        <w:ilvl w:val="6"/>
        <w:numId w:val="2"/>
      </w:numPr>
      <w:outlineLvl w:val="6"/>
    </w:pPr>
    <w:rPr>
      <w:rFonts w:cs="Simplified Arabic"/>
    </w:rPr>
  </w:style>
  <w:style w:type="character" w:customStyle="1" w:styleId="BulletL7Char">
    <w:name w:val="Bullet L7 Char"/>
    <w:link w:val="BulletL7"/>
    <w:qFormat/>
    <w:rPr>
      <w:sz w:val="24"/>
      <w:szCs w:val="24"/>
      <w:lang w:bidi="ar-AE"/>
    </w:rPr>
  </w:style>
  <w:style w:type="paragraph" w:customStyle="1" w:styleId="BulletL6">
    <w:name w:val="Bullet L6"/>
    <w:basedOn w:val="Normal"/>
    <w:link w:val="BulletL6Char"/>
    <w:qFormat/>
    <w:pPr>
      <w:numPr>
        <w:ilvl w:val="5"/>
        <w:numId w:val="2"/>
      </w:numPr>
      <w:outlineLvl w:val="5"/>
    </w:pPr>
    <w:rPr>
      <w:rFonts w:cs="Simplified Arabic"/>
    </w:rPr>
  </w:style>
  <w:style w:type="character" w:customStyle="1" w:styleId="BulletL6Char">
    <w:name w:val="Bullet L6 Char"/>
    <w:link w:val="BulletL6"/>
    <w:qFormat/>
    <w:rPr>
      <w:sz w:val="24"/>
      <w:szCs w:val="24"/>
      <w:lang w:bidi="ar-AE"/>
    </w:rPr>
  </w:style>
  <w:style w:type="paragraph" w:customStyle="1" w:styleId="BulletL5">
    <w:name w:val="Bullet L5"/>
    <w:basedOn w:val="Normal"/>
    <w:link w:val="BulletL5Char"/>
    <w:qFormat/>
    <w:pPr>
      <w:numPr>
        <w:ilvl w:val="4"/>
        <w:numId w:val="2"/>
      </w:numPr>
      <w:outlineLvl w:val="4"/>
    </w:pPr>
    <w:rPr>
      <w:rFonts w:cs="Simplified Arabic"/>
    </w:rPr>
  </w:style>
  <w:style w:type="character" w:customStyle="1" w:styleId="BulletL5Char">
    <w:name w:val="Bullet L5 Char"/>
    <w:link w:val="BulletL5"/>
    <w:qFormat/>
    <w:rPr>
      <w:sz w:val="24"/>
      <w:szCs w:val="24"/>
      <w:lang w:bidi="ar-AE"/>
    </w:rPr>
  </w:style>
  <w:style w:type="paragraph" w:customStyle="1" w:styleId="BulletL4">
    <w:name w:val="Bullet L4"/>
    <w:basedOn w:val="Normal"/>
    <w:link w:val="BulletL4Char"/>
    <w:qFormat/>
    <w:pPr>
      <w:numPr>
        <w:ilvl w:val="3"/>
        <w:numId w:val="2"/>
      </w:numPr>
      <w:outlineLvl w:val="3"/>
    </w:pPr>
    <w:rPr>
      <w:rFonts w:cs="Simplified Arabic"/>
    </w:rPr>
  </w:style>
  <w:style w:type="character" w:customStyle="1" w:styleId="BulletL4Char">
    <w:name w:val="Bullet L4 Char"/>
    <w:link w:val="BulletL4"/>
    <w:qFormat/>
    <w:rPr>
      <w:sz w:val="24"/>
      <w:szCs w:val="24"/>
      <w:lang w:bidi="ar-AE"/>
    </w:rPr>
  </w:style>
  <w:style w:type="paragraph" w:customStyle="1" w:styleId="BulletL3">
    <w:name w:val="Bullet L3"/>
    <w:basedOn w:val="Normal"/>
    <w:link w:val="BulletL3Char"/>
    <w:qFormat/>
    <w:pPr>
      <w:numPr>
        <w:ilvl w:val="2"/>
        <w:numId w:val="2"/>
      </w:numPr>
      <w:outlineLvl w:val="2"/>
    </w:pPr>
    <w:rPr>
      <w:rFonts w:cs="Simplified Arabic"/>
    </w:rPr>
  </w:style>
  <w:style w:type="character" w:customStyle="1" w:styleId="BulletL3Char">
    <w:name w:val="Bullet L3 Char"/>
    <w:link w:val="BulletL3"/>
    <w:qFormat/>
    <w:rPr>
      <w:sz w:val="24"/>
      <w:szCs w:val="24"/>
      <w:lang w:bidi="ar-AE"/>
    </w:rPr>
  </w:style>
  <w:style w:type="paragraph" w:customStyle="1" w:styleId="BulletL2">
    <w:name w:val="Bullet L2"/>
    <w:basedOn w:val="Normal"/>
    <w:link w:val="BulletL2Char"/>
    <w:qFormat/>
    <w:pPr>
      <w:numPr>
        <w:ilvl w:val="1"/>
        <w:numId w:val="2"/>
      </w:numPr>
      <w:outlineLvl w:val="1"/>
    </w:pPr>
    <w:rPr>
      <w:rFonts w:cs="Simplified Arabic"/>
    </w:rPr>
  </w:style>
  <w:style w:type="character" w:customStyle="1" w:styleId="BulletL2Char">
    <w:name w:val="Bullet L2 Char"/>
    <w:link w:val="BulletL2"/>
    <w:qFormat/>
    <w:rPr>
      <w:sz w:val="24"/>
      <w:szCs w:val="24"/>
      <w:lang w:bidi="ar-AE"/>
    </w:rPr>
  </w:style>
  <w:style w:type="paragraph" w:customStyle="1" w:styleId="BulletL1">
    <w:name w:val="Bullet L1"/>
    <w:basedOn w:val="Normal"/>
    <w:link w:val="BulletL1Char"/>
    <w:qFormat/>
    <w:pPr>
      <w:numPr>
        <w:numId w:val="2"/>
      </w:numPr>
      <w:outlineLvl w:val="0"/>
    </w:pPr>
    <w:rPr>
      <w:rFonts w:cs="Simplified Arabic"/>
    </w:rPr>
  </w:style>
  <w:style w:type="character" w:customStyle="1" w:styleId="BulletL1Char">
    <w:name w:val="Bullet L1 Char"/>
    <w:link w:val="BulletL1"/>
    <w:qFormat/>
    <w:rPr>
      <w:sz w:val="24"/>
      <w:szCs w:val="24"/>
      <w:lang w:bidi="ar-AE"/>
    </w:rPr>
  </w:style>
  <w:style w:type="paragraph" w:customStyle="1" w:styleId="StandardL4">
    <w:name w:val="Standard L4"/>
    <w:basedOn w:val="Normal"/>
    <w:next w:val="BodyText3"/>
    <w:link w:val="StandardL4Char"/>
    <w:qFormat/>
    <w:pPr>
      <w:numPr>
        <w:ilvl w:val="3"/>
        <w:numId w:val="1"/>
      </w:numPr>
      <w:outlineLvl w:val="3"/>
    </w:pPr>
    <w:rPr>
      <w:rFonts w:cs="Simplified Arabic"/>
    </w:rPr>
  </w:style>
  <w:style w:type="character" w:customStyle="1" w:styleId="StandardL4Char">
    <w:name w:val="Standard L4 Char"/>
    <w:link w:val="StandardL4"/>
    <w:qFormat/>
    <w:rPr>
      <w:sz w:val="24"/>
      <w:szCs w:val="24"/>
      <w:lang w:bidi="ar-AE"/>
    </w:rPr>
  </w:style>
  <w:style w:type="paragraph" w:customStyle="1" w:styleId="StandardL3">
    <w:name w:val="Standard L3"/>
    <w:basedOn w:val="Normal"/>
    <w:next w:val="BodyText2"/>
    <w:link w:val="StandardL3Char"/>
    <w:qFormat/>
    <w:pPr>
      <w:numPr>
        <w:ilvl w:val="2"/>
        <w:numId w:val="1"/>
      </w:numPr>
      <w:outlineLvl w:val="2"/>
    </w:pPr>
    <w:rPr>
      <w:rFonts w:cs="Simplified Arabic"/>
    </w:rPr>
  </w:style>
  <w:style w:type="character" w:customStyle="1" w:styleId="StandardL3Char">
    <w:name w:val="Standard L3 Char"/>
    <w:link w:val="StandardL3"/>
    <w:qFormat/>
    <w:rPr>
      <w:sz w:val="24"/>
      <w:szCs w:val="24"/>
      <w:lang w:bidi="ar-AE"/>
    </w:rPr>
  </w:style>
  <w:style w:type="paragraph" w:customStyle="1" w:styleId="StandardL2">
    <w:name w:val="Standard L2"/>
    <w:basedOn w:val="Normal"/>
    <w:next w:val="BodyText1"/>
    <w:link w:val="StandardL2Char"/>
    <w:qFormat/>
    <w:pPr>
      <w:numPr>
        <w:ilvl w:val="1"/>
        <w:numId w:val="1"/>
      </w:numPr>
      <w:outlineLvl w:val="1"/>
    </w:pPr>
    <w:rPr>
      <w:rFonts w:cs="Simplified Arabic"/>
    </w:rPr>
  </w:style>
  <w:style w:type="character" w:customStyle="1" w:styleId="StandardL2Char">
    <w:name w:val="Standard L2 Char"/>
    <w:link w:val="StandardL2"/>
    <w:qFormat/>
    <w:rPr>
      <w:sz w:val="24"/>
      <w:szCs w:val="24"/>
      <w:lang w:bidi="ar-AE"/>
    </w:rPr>
  </w:style>
  <w:style w:type="paragraph" w:customStyle="1" w:styleId="StandardL1">
    <w:name w:val="Standard L1"/>
    <w:basedOn w:val="Normal"/>
    <w:next w:val="BodyText1"/>
    <w:link w:val="StandardL1Char"/>
    <w:qFormat/>
    <w:pPr>
      <w:keepNext/>
      <w:numPr>
        <w:numId w:val="1"/>
      </w:numPr>
      <w:suppressAutoHyphens/>
      <w:jc w:val="left"/>
      <w:outlineLvl w:val="0"/>
    </w:pPr>
    <w:rPr>
      <w:rFonts w:cs="Simplified Arabic"/>
      <w:b/>
      <w:caps/>
    </w:rPr>
  </w:style>
  <w:style w:type="character" w:customStyle="1" w:styleId="StandardL1Char">
    <w:name w:val="Standard L1 Char"/>
    <w:link w:val="StandardL1"/>
    <w:qFormat/>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qFormat/>
    <w:pPr>
      <w:numPr>
        <w:numId w:val="3"/>
      </w:numPr>
      <w:spacing w:before="0"/>
    </w:pPr>
    <w:rPr>
      <w:rFonts w:eastAsia="FangSong_GB2312"/>
      <w:bCs/>
      <w:sz w:val="21"/>
      <w:szCs w:val="21"/>
    </w:rPr>
  </w:style>
  <w:style w:type="paragraph" w:customStyle="1" w:styleId="Revision1">
    <w:name w:val="Revision1"/>
    <w:hidden/>
    <w:uiPriority w:val="99"/>
    <w:unhideWhenUsed/>
    <w:qFormat/>
    <w:rPr>
      <w:sz w:val="24"/>
      <w:szCs w:val="24"/>
      <w:lang w:val="en-GB" w:bidi="ar-AE"/>
    </w:rPr>
  </w:style>
  <w:style w:type="character" w:customStyle="1" w:styleId="15">
    <w:name w:val="15"/>
    <w:basedOn w:val="DefaultParagraphFont"/>
    <w:qFormat/>
    <w:rPr>
      <w:rFonts w:ascii="Times New Roman" w:eastAsia="SimSun" w:hAnsi="Times New Roman" w:cs="Simplified Arabic"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2C31E1-2A29-43FC-9A09-18CC4BE1EDBC}">
  <ds:schemaRefs>
    <ds:schemaRef ds:uri="http://schemas.openxmlformats.org/officeDocument/2006/bibliography"/>
  </ds:schemaRefs>
</ds:datastoreItem>
</file>

<file path=customXml/itemProps2.xml><?xml version="1.0" encoding="utf-8"?>
<ds:datastoreItem xmlns:ds="http://schemas.openxmlformats.org/officeDocument/2006/customXml" ds:itemID="{6158C313-7436-47C2-BE5F-574DF2F5684D}">
  <ds:schemaRefs>
    <ds:schemaRef ds:uri="http://schemas.microsoft.com/sharepoint/v3/contenttype/forms"/>
  </ds:schemaRefs>
</ds:datastoreItem>
</file>

<file path=customXml/itemProps3.xml><?xml version="1.0" encoding="utf-8"?>
<ds:datastoreItem xmlns:ds="http://schemas.openxmlformats.org/officeDocument/2006/customXml" ds:itemID="{1FC465F0-A23F-426F-B115-4AE77A793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759A43-313D-4CAC-86A8-EA64C2CC38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Office\Templates\KWM\blank.dot</Template>
  <TotalTime>14</TotalTime>
  <Pages>3</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KWM</dc:creator>
  <cp:lastModifiedBy>Dacheng SH</cp:lastModifiedBy>
  <cp:revision>6</cp:revision>
  <cp:lastPrinted>2022-03-20T13:18:00Z</cp:lastPrinted>
  <dcterms:created xsi:type="dcterms:W3CDTF">2026-05-29T05:49:00Z</dcterms:created>
  <dcterms:modified xsi:type="dcterms:W3CDTF">2026-09-10T02:19:00Z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2E4EB19A88E445299A4194E1DEEE5CFE_13</vt:lpwstr>
  </property>
  <property fmtid="{D5CDD505-2E9C-101B-9397-08002B2CF9AE}" pid="4" name="KSOTemplateDocerSaveRecord">
    <vt:lpwstr>eyJoZGlkIjoiMWQyYzg0M2ZhYzI1OGY1MGNjZGQ2YzRmODk3ZmNkZjciLCJ1c2VySWQiOiI0NTQxMDY3NzkifQ==</vt:lpwstr>
  </property>
</Properties>
</file>