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AA54F" w14:textId="6BD8C159" w:rsidR="00433451" w:rsidRDefault="00433451">
      <w:pPr>
        <w:jc w:val="center"/>
        <w:rPr>
          <w:rFonts w:ascii="SimHei" w:eastAsia="SimHei" w:hAnsi="SimHei" w:cs="SimHei"/>
          <w:bCs/>
          <w:sz w:val="36"/>
          <w:szCs w:val="36"/>
        </w:rPr>
      </w:pPr>
      <w:r>
        <w:rPr>
          <w:rFonts w:ascii="SimHei" w:eastAsia="SimHei" w:hAnsi="SimHei" w:cs="SimHei" w:hint="eastAsia"/>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433451" w14:paraId="616CE8BD" w14:textId="77777777">
        <w:trPr>
          <w:trHeight w:val="926"/>
        </w:trPr>
        <w:tc>
          <w:tcPr>
            <w:tcW w:w="1940" w:type="dxa"/>
            <w:shd w:val="clear" w:color="auto" w:fill="D9D9D9"/>
            <w:vAlign w:val="center"/>
          </w:tcPr>
          <w:p w14:paraId="0CC472B6" w14:textId="77777777" w:rsidR="00433451" w:rsidRDefault="00433451">
            <w:pPr>
              <w:pStyle w:val="BodyText"/>
              <w:adjustRightInd w:val="0"/>
              <w:snapToGrid w:val="0"/>
              <w:spacing w:after="0"/>
              <w:rPr>
                <w:rFonts w:ascii="宋体" w:hAnsi="宋体" w:cs="宋体"/>
                <w:bCs/>
                <w:color w:val="000000"/>
                <w:lang w:val="en-US"/>
              </w:rPr>
            </w:pPr>
            <w:proofErr w:type="spellStart"/>
            <w:r>
              <w:rPr>
                <w:rFonts w:ascii="宋体" w:hAnsi="宋体" w:cs="宋体" w:hint="eastAsia"/>
                <w:bCs/>
                <w:color w:val="000000"/>
              </w:rPr>
              <w:t>案件名称</w:t>
            </w:r>
            <w:proofErr w:type="spellEnd"/>
          </w:p>
        </w:tc>
        <w:tc>
          <w:tcPr>
            <w:tcW w:w="7700" w:type="dxa"/>
            <w:gridSpan w:val="2"/>
            <w:vAlign w:val="center"/>
          </w:tcPr>
          <w:p w14:paraId="43A66491" w14:textId="5F8BC9D4" w:rsidR="00433451" w:rsidRDefault="00172BE1">
            <w:pPr>
              <w:adjustRightInd w:val="0"/>
              <w:snapToGrid w:val="0"/>
              <w:spacing w:after="0"/>
              <w:rPr>
                <w:rFonts w:ascii="宋体" w:hAnsi="宋体" w:cs="宋体"/>
                <w:bCs/>
                <w:color w:val="000000"/>
                <w:lang w:val="en-US"/>
              </w:rPr>
            </w:pPr>
            <w:r w:rsidRPr="00172BE1">
              <w:rPr>
                <w:rFonts w:ascii="宋体" w:hAnsi="宋体" w:cs="宋体"/>
                <w:bCs/>
                <w:color w:val="000000"/>
                <w:lang w:val="en-US"/>
              </w:rPr>
              <w:t>埃尼科风力有限公司与埃奎诺尔可再生能源有限公司新设合营企业案</w:t>
            </w:r>
          </w:p>
        </w:tc>
      </w:tr>
      <w:tr w:rsidR="00433451" w14:paraId="70DAEFED" w14:textId="77777777">
        <w:trPr>
          <w:trHeight w:val="1391"/>
        </w:trPr>
        <w:tc>
          <w:tcPr>
            <w:tcW w:w="1940" w:type="dxa"/>
            <w:shd w:val="clear" w:color="auto" w:fill="D9D9D9"/>
            <w:vAlign w:val="center"/>
          </w:tcPr>
          <w:p w14:paraId="2A29813D" w14:textId="77777777" w:rsidR="00433451" w:rsidRDefault="00433451">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交易概况（限200字内）</w:t>
            </w:r>
          </w:p>
        </w:tc>
        <w:tc>
          <w:tcPr>
            <w:tcW w:w="7700" w:type="dxa"/>
            <w:gridSpan w:val="2"/>
            <w:vAlign w:val="center"/>
          </w:tcPr>
          <w:p w14:paraId="422DC492" w14:textId="636F5044" w:rsidR="00ED29A1" w:rsidRPr="00BC0EA7" w:rsidRDefault="0075281B" w:rsidP="003C5CCA">
            <w:pPr>
              <w:widowControl w:val="0"/>
              <w:adjustRightInd w:val="0"/>
              <w:snapToGrid w:val="0"/>
              <w:spacing w:after="0"/>
              <w:rPr>
                <w:rFonts w:ascii="宋体" w:hAnsi="宋体" w:cs="宋体"/>
                <w:bCs/>
                <w:color w:val="000000"/>
                <w:lang w:val="en-US"/>
              </w:rPr>
            </w:pPr>
            <w:r w:rsidRPr="0075281B">
              <w:rPr>
                <w:rFonts w:ascii="宋体" w:hAnsi="宋体" w:cs="宋体"/>
                <w:lang w:val="en-US"/>
              </w:rPr>
              <w:t>埃尼科风力有限公司（“</w:t>
            </w:r>
            <w:r w:rsidRPr="000B0D3A">
              <w:rPr>
                <w:rFonts w:ascii="宋体" w:hAnsi="宋体" w:cs="宋体"/>
                <w:b/>
                <w:bCs/>
                <w:lang w:val="en-US"/>
              </w:rPr>
              <w:t>埃尼科</w:t>
            </w:r>
            <w:r w:rsidR="0095281C">
              <w:rPr>
                <w:rFonts w:ascii="宋体" w:hAnsi="宋体" w:cs="宋体" w:hint="eastAsia"/>
                <w:b/>
                <w:bCs/>
                <w:lang w:val="en-US"/>
              </w:rPr>
              <w:t>风力</w:t>
            </w:r>
            <w:r w:rsidRPr="0075281B">
              <w:rPr>
                <w:rFonts w:ascii="宋体" w:hAnsi="宋体" w:cs="宋体"/>
                <w:lang w:val="en-US"/>
              </w:rPr>
              <w:t>”）与埃奎诺尔可再生能源有限公司（“</w:t>
            </w:r>
            <w:r w:rsidRPr="000B0D3A">
              <w:rPr>
                <w:rFonts w:ascii="宋体" w:hAnsi="宋体" w:cs="宋体"/>
                <w:b/>
                <w:bCs/>
                <w:lang w:val="en-US"/>
              </w:rPr>
              <w:t>埃奎诺尔</w:t>
            </w:r>
            <w:r w:rsidR="0095281C">
              <w:rPr>
                <w:rFonts w:ascii="宋体" w:hAnsi="宋体" w:cs="宋体" w:hint="eastAsia"/>
                <w:b/>
                <w:bCs/>
                <w:lang w:val="en-US"/>
              </w:rPr>
              <w:t>可再生能源</w:t>
            </w:r>
            <w:r w:rsidRPr="0075281B">
              <w:rPr>
                <w:rFonts w:ascii="宋体" w:hAnsi="宋体" w:cs="宋体"/>
                <w:lang w:val="en-US"/>
              </w:rPr>
              <w:t>”）签署联合开发协议。根据该协议，</w:t>
            </w:r>
            <w:r w:rsidR="00E5496D" w:rsidRPr="00E5496D">
              <w:rPr>
                <w:rFonts w:ascii="宋体" w:hAnsi="宋体" w:cs="宋体"/>
                <w:bCs/>
              </w:rPr>
              <w:t>双方拟</w:t>
            </w:r>
            <w:r w:rsidR="008729F8">
              <w:rPr>
                <w:rFonts w:ascii="宋体" w:hAnsi="宋体" w:cs="宋体" w:hint="eastAsia"/>
                <w:bCs/>
                <w:color w:val="000000"/>
              </w:rPr>
              <w:t>设立合营企业</w:t>
            </w:r>
            <w:r w:rsidR="00FE3A8F">
              <w:rPr>
                <w:rFonts w:ascii="宋体" w:hAnsi="宋体" w:cs="宋体" w:hint="eastAsia"/>
                <w:bCs/>
                <w:color w:val="000000"/>
              </w:rPr>
              <w:t>，</w:t>
            </w:r>
            <w:r w:rsidR="007D0ABF">
              <w:rPr>
                <w:rFonts w:ascii="宋体" w:hAnsi="宋体" w:cs="宋体" w:hint="eastAsia"/>
                <w:bCs/>
                <w:color w:val="000000"/>
                <w:lang w:val="en-US"/>
              </w:rPr>
              <w:t>合营企业拟在荷兰开展电力生产和批发业务</w:t>
            </w:r>
            <w:r w:rsidR="00FE3A8F" w:rsidRPr="00FE3A8F">
              <w:rPr>
                <w:rFonts w:ascii="宋体" w:hAnsi="宋体" w:cs="宋体"/>
                <w:bCs/>
                <w:color w:val="000000"/>
                <w:lang w:val="en-US"/>
              </w:rPr>
              <w:t>。交易完成后，</w:t>
            </w:r>
            <w:r w:rsidR="007D622A" w:rsidRPr="007D622A">
              <w:rPr>
                <w:rFonts w:ascii="宋体" w:hAnsi="宋体" w:cs="宋体"/>
                <w:bCs/>
                <w:color w:val="000000"/>
                <w:lang w:val="en-US"/>
              </w:rPr>
              <w:t>埃尼科风力</w:t>
            </w:r>
            <w:r w:rsidR="00E5496D" w:rsidRPr="00E5496D">
              <w:rPr>
                <w:rFonts w:ascii="宋体" w:hAnsi="宋体" w:cs="宋体"/>
                <w:bCs/>
              </w:rPr>
              <w:t>和</w:t>
            </w:r>
            <w:r w:rsidR="007D622A">
              <w:rPr>
                <w:rFonts w:ascii="宋体" w:hAnsi="宋体" w:cs="宋体" w:hint="eastAsia"/>
                <w:bCs/>
                <w:color w:val="000000"/>
              </w:rPr>
              <w:t>埃奎诺尔可再生能源将</w:t>
            </w:r>
            <w:r w:rsidR="00E5496D" w:rsidRPr="00E5496D">
              <w:rPr>
                <w:rFonts w:ascii="宋体" w:hAnsi="宋体" w:cs="宋体"/>
                <w:bCs/>
              </w:rPr>
              <w:t>分别</w:t>
            </w:r>
            <w:r w:rsidR="007D622A">
              <w:rPr>
                <w:rFonts w:ascii="宋体" w:hAnsi="宋体" w:cs="宋体" w:hint="eastAsia"/>
                <w:bCs/>
                <w:color w:val="000000"/>
              </w:rPr>
              <w:t>持有合营企业50%的股权，</w:t>
            </w:r>
            <w:r w:rsidR="00E5496D" w:rsidRPr="00E5496D">
              <w:rPr>
                <w:rFonts w:ascii="宋体" w:hAnsi="宋体" w:cs="宋体"/>
                <w:bCs/>
                <w:lang w:val="en-US"/>
              </w:rPr>
              <w:t>并</w:t>
            </w:r>
            <w:r w:rsidR="00BC0EA7" w:rsidRPr="00BC0EA7">
              <w:rPr>
                <w:rFonts w:ascii="宋体" w:hAnsi="宋体" w:cs="宋体"/>
                <w:bCs/>
                <w:color w:val="000000"/>
                <w:lang w:val="en-US"/>
              </w:rPr>
              <w:t>共同控制</w:t>
            </w:r>
            <w:r w:rsidR="00872D0C">
              <w:rPr>
                <w:rFonts w:ascii="宋体" w:hAnsi="宋体" w:cs="宋体" w:hint="eastAsia"/>
                <w:bCs/>
                <w:color w:val="000000"/>
                <w:lang w:val="en-US"/>
              </w:rPr>
              <w:t>该</w:t>
            </w:r>
            <w:r w:rsidR="00BC0EA7" w:rsidRPr="00BC0EA7">
              <w:rPr>
                <w:rFonts w:ascii="宋体" w:hAnsi="宋体" w:cs="宋体"/>
                <w:bCs/>
                <w:color w:val="000000"/>
                <w:lang w:val="en-US"/>
              </w:rPr>
              <w:t>合营企业</w:t>
            </w:r>
            <w:r w:rsidR="00FE3A8F" w:rsidRPr="00FE3A8F">
              <w:rPr>
                <w:rFonts w:ascii="宋体" w:hAnsi="宋体" w:cs="宋体"/>
                <w:bCs/>
                <w:color w:val="000000"/>
                <w:lang w:val="en-US"/>
              </w:rPr>
              <w:t>。</w:t>
            </w:r>
            <w:r w:rsidR="007D0ABF" w:rsidRPr="007D0ABF">
              <w:rPr>
                <w:rFonts w:ascii="宋体" w:hAnsi="宋体" w:cs="宋体"/>
                <w:bCs/>
                <w:color w:val="000000"/>
                <w:lang w:val="en-US"/>
              </w:rPr>
              <w:t>合营企业将仅在荷兰从事业务，不会在中国境内从事任何业务。</w:t>
            </w:r>
          </w:p>
        </w:tc>
      </w:tr>
      <w:tr w:rsidR="0019131C" w14:paraId="3FF8A9C9" w14:textId="77777777">
        <w:trPr>
          <w:trHeight w:val="942"/>
        </w:trPr>
        <w:tc>
          <w:tcPr>
            <w:tcW w:w="1940" w:type="dxa"/>
            <w:vMerge w:val="restart"/>
            <w:shd w:val="clear" w:color="auto" w:fill="D9D9D9"/>
            <w:vAlign w:val="center"/>
          </w:tcPr>
          <w:p w14:paraId="1A333D9A" w14:textId="77777777" w:rsidR="0019131C" w:rsidRDefault="0019131C">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参与集中的经营者简介（每个限</w:t>
            </w:r>
            <w:r>
              <w:rPr>
                <w:rFonts w:ascii="宋体" w:hAnsi="宋体" w:cs="宋体" w:hint="eastAsia"/>
                <w:bCs/>
                <w:color w:val="000000"/>
                <w:lang w:val="en-US" w:eastAsia="zh-CN"/>
              </w:rPr>
              <w:t>100字以内</w:t>
            </w:r>
            <w:r>
              <w:rPr>
                <w:rFonts w:ascii="宋体" w:hAnsi="宋体" w:cs="宋体" w:hint="eastAsia"/>
                <w:bCs/>
                <w:color w:val="000000"/>
                <w:lang w:eastAsia="zh-CN"/>
              </w:rPr>
              <w:t>）</w:t>
            </w:r>
          </w:p>
        </w:tc>
        <w:tc>
          <w:tcPr>
            <w:tcW w:w="1607" w:type="dxa"/>
            <w:vAlign w:val="center"/>
          </w:tcPr>
          <w:p w14:paraId="3ACF0301" w14:textId="0EF2A9E9" w:rsidR="0019131C" w:rsidRDefault="0019131C">
            <w:pPr>
              <w:pStyle w:val="BodyText"/>
              <w:adjustRightInd w:val="0"/>
              <w:snapToGrid w:val="0"/>
              <w:spacing w:after="0"/>
              <w:rPr>
                <w:rFonts w:ascii="宋体" w:hAnsi="宋体" w:cs="宋体"/>
                <w:bCs/>
                <w:color w:val="000000"/>
                <w:lang w:eastAsia="zh-CN"/>
              </w:rPr>
            </w:pPr>
            <w:r>
              <w:rPr>
                <w:rFonts w:ascii="宋体" w:hAnsi="宋体" w:cs="宋体" w:hint="eastAsia"/>
                <w:bCs/>
                <w:color w:val="000000"/>
                <w:lang w:val="en-US" w:eastAsia="zh-CN"/>
              </w:rPr>
              <w:t>1.</w:t>
            </w:r>
            <w:r w:rsidR="0075281B">
              <w:rPr>
                <w:rFonts w:ascii="宋体" w:hAnsi="宋体" w:cs="宋体" w:hint="eastAsia"/>
                <w:bCs/>
                <w:color w:val="000000"/>
                <w:lang w:eastAsia="zh-CN"/>
              </w:rPr>
              <w:t>埃尼科</w:t>
            </w:r>
            <w:r w:rsidR="0095281C">
              <w:rPr>
                <w:rFonts w:ascii="宋体" w:hAnsi="宋体" w:cs="宋体" w:hint="eastAsia"/>
                <w:bCs/>
                <w:color w:val="000000"/>
                <w:lang w:eastAsia="zh-CN"/>
              </w:rPr>
              <w:t>风力</w:t>
            </w:r>
          </w:p>
        </w:tc>
        <w:tc>
          <w:tcPr>
            <w:tcW w:w="6093" w:type="dxa"/>
            <w:vAlign w:val="center"/>
          </w:tcPr>
          <w:p w14:paraId="2980C4D9" w14:textId="6E7053CA" w:rsidR="00310A4B" w:rsidRPr="00C003D4" w:rsidRDefault="00310A4B" w:rsidP="00310A4B">
            <w:pPr>
              <w:adjustRightInd w:val="0"/>
              <w:snapToGrid w:val="0"/>
              <w:spacing w:before="120" w:after="120"/>
              <w:rPr>
                <w:rFonts w:ascii="宋体" w:hAnsi="宋体" w:cs="宋体"/>
                <w:lang w:val="en-US"/>
              </w:rPr>
            </w:pPr>
            <w:r w:rsidRPr="002F76D1">
              <w:rPr>
                <w:rFonts w:ascii="宋体" w:hAnsi="宋体" w:cs="宋体"/>
                <w:bCs/>
                <w:color w:val="000000"/>
                <w:lang w:val="en-US"/>
              </w:rPr>
              <w:t>埃尼科</w:t>
            </w:r>
            <w:r>
              <w:rPr>
                <w:rFonts w:ascii="宋体" w:hAnsi="宋体" w:cs="宋体" w:hint="eastAsia"/>
                <w:bCs/>
                <w:color w:val="000000"/>
                <w:lang w:val="en-US"/>
              </w:rPr>
              <w:t>风力</w:t>
            </w:r>
            <w:r w:rsidRPr="002F76D1">
              <w:rPr>
                <w:rFonts w:ascii="宋体" w:hAnsi="宋体" w:cs="宋体"/>
                <w:bCs/>
                <w:color w:val="000000"/>
                <w:lang w:val="en-US"/>
              </w:rPr>
              <w:t>于1995年11月成立于荷兰。埃尼科</w:t>
            </w:r>
            <w:r>
              <w:rPr>
                <w:rFonts w:ascii="宋体" w:hAnsi="宋体" w:cs="宋体" w:hint="eastAsia"/>
                <w:bCs/>
                <w:color w:val="000000"/>
                <w:lang w:val="en-US"/>
              </w:rPr>
              <w:t>风力</w:t>
            </w:r>
            <w:r w:rsidRPr="002F76D1">
              <w:rPr>
                <w:rFonts w:ascii="宋体" w:hAnsi="宋体" w:cs="宋体"/>
                <w:bCs/>
                <w:color w:val="000000"/>
                <w:lang w:val="en-US"/>
              </w:rPr>
              <w:t>主要从事可再生能源开发以及绿氢生产和销售。</w:t>
            </w:r>
          </w:p>
          <w:p w14:paraId="3552AE62" w14:textId="19400AAE" w:rsidR="00B43D72" w:rsidRPr="002F76D1" w:rsidRDefault="002F76D1" w:rsidP="00310A4B">
            <w:pPr>
              <w:pStyle w:val="BodyText"/>
              <w:adjustRightInd w:val="0"/>
              <w:snapToGrid w:val="0"/>
              <w:spacing w:before="120" w:after="120"/>
              <w:rPr>
                <w:rFonts w:ascii="宋体" w:hAnsi="宋体" w:cs="宋体"/>
                <w:bCs/>
                <w:color w:val="000000"/>
                <w:lang w:val="en-US" w:eastAsia="zh-CN"/>
              </w:rPr>
            </w:pPr>
            <w:r w:rsidRPr="002F76D1">
              <w:rPr>
                <w:rFonts w:ascii="宋体" w:hAnsi="宋体" w:cs="宋体"/>
                <w:bCs/>
                <w:color w:val="000000"/>
                <w:lang w:val="en-US" w:eastAsia="zh-CN"/>
              </w:rPr>
              <w:t>埃尼科</w:t>
            </w:r>
            <w:r w:rsidR="00E55FEC">
              <w:rPr>
                <w:rFonts w:ascii="宋体" w:hAnsi="宋体" w:cs="宋体" w:hint="eastAsia"/>
                <w:bCs/>
                <w:color w:val="000000"/>
                <w:lang w:val="en-US" w:eastAsia="zh-CN"/>
              </w:rPr>
              <w:t>风力</w:t>
            </w:r>
            <w:r w:rsidRPr="002F76D1">
              <w:rPr>
                <w:rFonts w:ascii="宋体" w:hAnsi="宋体" w:cs="宋体"/>
                <w:bCs/>
                <w:color w:val="000000"/>
                <w:lang w:val="en-US" w:eastAsia="zh-CN"/>
              </w:rPr>
              <w:t>的最终控制人为三菱商事。</w:t>
            </w:r>
            <w:r w:rsidR="00A15810" w:rsidRPr="00A15810">
              <w:rPr>
                <w:rFonts w:ascii="宋体" w:hAnsi="宋体" w:cs="宋体"/>
                <w:bCs/>
                <w:color w:val="000000"/>
                <w:lang w:val="en-US" w:eastAsia="zh-CN"/>
              </w:rPr>
              <w:t>三菱商事的主要业务涵盖天然气、产业材料、石油与化学解决方案、矿产资源、工业基础设施、汽车与出行业务、食品产业、消费产业、电力解决方案以及城市开发等领域。</w:t>
            </w:r>
          </w:p>
        </w:tc>
      </w:tr>
      <w:tr w:rsidR="0019131C" w14:paraId="15F19DA5" w14:textId="77777777">
        <w:trPr>
          <w:trHeight w:val="984"/>
        </w:trPr>
        <w:tc>
          <w:tcPr>
            <w:tcW w:w="1940" w:type="dxa"/>
            <w:vMerge/>
            <w:shd w:val="clear" w:color="auto" w:fill="D9D9D9"/>
            <w:vAlign w:val="center"/>
          </w:tcPr>
          <w:p w14:paraId="41966919" w14:textId="77777777" w:rsidR="0019131C" w:rsidRDefault="0019131C">
            <w:pPr>
              <w:pStyle w:val="BodyText"/>
              <w:adjustRightInd w:val="0"/>
              <w:snapToGrid w:val="0"/>
              <w:spacing w:after="0"/>
              <w:rPr>
                <w:rFonts w:ascii="宋体" w:hAnsi="宋体" w:cs="宋体"/>
                <w:bCs/>
                <w:color w:val="000000"/>
                <w:lang w:val="en-US" w:eastAsia="zh-CN"/>
              </w:rPr>
            </w:pPr>
          </w:p>
        </w:tc>
        <w:tc>
          <w:tcPr>
            <w:tcW w:w="1607" w:type="dxa"/>
            <w:vAlign w:val="center"/>
          </w:tcPr>
          <w:p w14:paraId="424ABF32" w14:textId="699360FA" w:rsidR="0019131C" w:rsidRDefault="0019131C">
            <w:pPr>
              <w:pStyle w:val="BodyText"/>
              <w:adjustRightInd w:val="0"/>
              <w:snapToGrid w:val="0"/>
              <w:spacing w:after="0"/>
              <w:rPr>
                <w:rFonts w:ascii="宋体" w:hAnsi="宋体" w:cs="宋体"/>
                <w:bCs/>
                <w:color w:val="000000"/>
                <w:lang w:eastAsia="zh-CN"/>
              </w:rPr>
            </w:pPr>
            <w:r>
              <w:rPr>
                <w:rFonts w:ascii="宋体" w:hAnsi="宋体" w:cs="宋体" w:hint="eastAsia"/>
                <w:bCs/>
                <w:color w:val="000000"/>
                <w:lang w:val="en-US" w:eastAsia="zh-CN"/>
              </w:rPr>
              <w:t>2.</w:t>
            </w:r>
            <w:r w:rsidR="0075281B">
              <w:rPr>
                <w:rFonts w:ascii="宋体" w:hAnsi="宋体" w:cs="宋体" w:hint="eastAsia"/>
                <w:bCs/>
                <w:color w:val="000000"/>
                <w:lang w:eastAsia="zh-CN"/>
              </w:rPr>
              <w:t>埃奎诺尔</w:t>
            </w:r>
            <w:r w:rsidR="0095281C">
              <w:rPr>
                <w:rFonts w:ascii="宋体" w:hAnsi="宋体" w:cs="宋体" w:hint="eastAsia"/>
                <w:bCs/>
                <w:color w:val="000000"/>
                <w:lang w:eastAsia="zh-CN"/>
              </w:rPr>
              <w:t>可再生能源</w:t>
            </w:r>
          </w:p>
          <w:p w14:paraId="4895B635" w14:textId="77777777" w:rsidR="0019131C" w:rsidRDefault="0019131C">
            <w:pPr>
              <w:pStyle w:val="BodyText"/>
              <w:adjustRightInd w:val="0"/>
              <w:snapToGrid w:val="0"/>
              <w:spacing w:after="0"/>
              <w:rPr>
                <w:rFonts w:ascii="宋体" w:hAnsi="宋体" w:cs="宋体"/>
                <w:bCs/>
                <w:color w:val="000000"/>
                <w:lang w:eastAsia="zh-CN"/>
              </w:rPr>
            </w:pPr>
          </w:p>
        </w:tc>
        <w:tc>
          <w:tcPr>
            <w:tcW w:w="6093" w:type="dxa"/>
            <w:vAlign w:val="center"/>
          </w:tcPr>
          <w:p w14:paraId="05613E61" w14:textId="3E0CD9AB" w:rsidR="00C003D4" w:rsidRPr="00C003D4" w:rsidRDefault="00C003D4" w:rsidP="00310A4B">
            <w:pPr>
              <w:adjustRightInd w:val="0"/>
              <w:snapToGrid w:val="0"/>
              <w:spacing w:before="120" w:after="120"/>
              <w:rPr>
                <w:rFonts w:ascii="宋体" w:hAnsi="宋体" w:cs="宋体"/>
                <w:lang w:val="en-US"/>
              </w:rPr>
            </w:pPr>
            <w:r w:rsidRPr="00C003D4">
              <w:rPr>
                <w:rFonts w:ascii="宋体" w:hAnsi="宋体" w:cs="宋体"/>
                <w:lang w:val="en-US"/>
              </w:rPr>
              <w:t>埃奎诺尔</w:t>
            </w:r>
            <w:r w:rsidR="008E15EB">
              <w:rPr>
                <w:rFonts w:ascii="宋体" w:hAnsi="宋体" w:cs="宋体" w:hint="eastAsia"/>
                <w:lang w:val="en-US"/>
              </w:rPr>
              <w:t>可再生能源</w:t>
            </w:r>
            <w:r w:rsidRPr="00C003D4">
              <w:rPr>
                <w:rFonts w:ascii="宋体" w:hAnsi="宋体" w:cs="宋体"/>
                <w:lang w:val="en-US"/>
              </w:rPr>
              <w:t>于2021年6月</w:t>
            </w:r>
            <w:r w:rsidR="00E5496D" w:rsidRPr="00E5496D">
              <w:rPr>
                <w:rFonts w:ascii="宋体" w:hAnsi="宋体" w:cs="宋体"/>
                <w:lang w:val="en-US"/>
              </w:rPr>
              <w:t>在</w:t>
            </w:r>
            <w:r w:rsidRPr="00C003D4">
              <w:rPr>
                <w:rFonts w:ascii="宋体" w:hAnsi="宋体" w:cs="宋体"/>
                <w:lang w:val="en-US"/>
              </w:rPr>
              <w:t>荷兰</w:t>
            </w:r>
            <w:r w:rsidR="00E5496D" w:rsidRPr="00E5496D">
              <w:rPr>
                <w:rFonts w:ascii="宋体" w:hAnsi="宋体" w:cs="宋体"/>
                <w:lang w:val="en-US"/>
              </w:rPr>
              <w:t>成立</w:t>
            </w:r>
            <w:r w:rsidR="009B6EC0">
              <w:rPr>
                <w:rFonts w:ascii="宋体" w:hAnsi="宋体" w:cs="宋体" w:hint="eastAsia"/>
                <w:lang w:val="en-US"/>
              </w:rPr>
              <w:t>，</w:t>
            </w:r>
            <w:r w:rsidR="009B6EC0" w:rsidRPr="009B6EC0">
              <w:rPr>
                <w:rFonts w:ascii="宋体" w:hAnsi="宋体" w:cs="宋体"/>
                <w:lang w:val="en-US"/>
              </w:rPr>
              <w:t>主要从事与可再生能源相关的工业及贸易活动</w:t>
            </w:r>
            <w:r w:rsidR="00E5496D" w:rsidRPr="00E5496D">
              <w:rPr>
                <w:rFonts w:ascii="宋体" w:hAnsi="宋体" w:cs="宋体"/>
                <w:lang w:val="en-US"/>
              </w:rPr>
              <w:t>、</w:t>
            </w:r>
            <w:r w:rsidR="009B6EC0" w:rsidRPr="009B6EC0">
              <w:rPr>
                <w:rFonts w:ascii="宋体" w:hAnsi="宋体" w:cs="宋体"/>
                <w:lang w:val="en-US"/>
              </w:rPr>
              <w:t>石油和天然气勘探与生产业务，并主要作为</w:t>
            </w:r>
            <w:r w:rsidR="00483B45" w:rsidRPr="00483B45">
              <w:rPr>
                <w:rFonts w:ascii="宋体" w:hAnsi="宋体" w:cs="宋体"/>
                <w:lang w:val="en-US"/>
              </w:rPr>
              <w:t>挪威国家石油公司</w:t>
            </w:r>
            <w:r w:rsidR="00483B45">
              <w:rPr>
                <w:rFonts w:ascii="宋体" w:hAnsi="宋体" w:cs="宋体" w:hint="eastAsia"/>
                <w:lang w:val="en-US"/>
              </w:rPr>
              <w:t>集团</w:t>
            </w:r>
            <w:r w:rsidR="009B6EC0" w:rsidRPr="009B6EC0">
              <w:rPr>
                <w:rFonts w:ascii="宋体" w:hAnsi="宋体" w:cs="宋体"/>
                <w:lang w:val="en-US"/>
              </w:rPr>
              <w:t>可再生能源项目的控股平台。</w:t>
            </w:r>
          </w:p>
          <w:p w14:paraId="5798A4A8" w14:textId="0E074393" w:rsidR="005420FA" w:rsidRPr="00C003D4" w:rsidRDefault="00C003D4" w:rsidP="00310A4B">
            <w:pPr>
              <w:adjustRightInd w:val="0"/>
              <w:snapToGrid w:val="0"/>
              <w:spacing w:before="120" w:after="120"/>
              <w:rPr>
                <w:rFonts w:ascii="宋体" w:hAnsi="宋体" w:cs="宋体"/>
                <w:lang w:val="en-US"/>
              </w:rPr>
            </w:pPr>
            <w:r w:rsidRPr="00C003D4">
              <w:rPr>
                <w:rFonts w:ascii="宋体" w:hAnsi="宋体" w:cs="宋体"/>
                <w:lang w:val="en-US"/>
              </w:rPr>
              <w:t>埃奎诺尔</w:t>
            </w:r>
            <w:r w:rsidR="00483B45">
              <w:rPr>
                <w:rFonts w:ascii="宋体" w:hAnsi="宋体" w:cs="宋体" w:hint="eastAsia"/>
                <w:lang w:val="en-US"/>
              </w:rPr>
              <w:t>可再生能源</w:t>
            </w:r>
            <w:r w:rsidRPr="00C003D4">
              <w:rPr>
                <w:rFonts w:ascii="宋体" w:hAnsi="宋体" w:cs="宋体"/>
                <w:lang w:val="en-US"/>
              </w:rPr>
              <w:t>的最终控制人为挪威国家石油公司。挪威国家石油公司是一家</w:t>
            </w:r>
            <w:r w:rsidR="00483B45">
              <w:rPr>
                <w:rFonts w:ascii="宋体" w:hAnsi="宋体" w:cs="宋体" w:hint="eastAsia"/>
                <w:lang w:val="en-US"/>
              </w:rPr>
              <w:t>跨国</w:t>
            </w:r>
            <w:r w:rsidRPr="00C003D4">
              <w:rPr>
                <w:rFonts w:ascii="宋体" w:hAnsi="宋体" w:cs="宋体"/>
                <w:lang w:val="en-US"/>
              </w:rPr>
              <w:t>能源公司，主要从事</w:t>
            </w:r>
            <w:r w:rsidR="009420AA" w:rsidRPr="009420AA">
              <w:rPr>
                <w:rFonts w:ascii="宋体" w:hAnsi="宋体" w:cs="宋体"/>
                <w:lang w:val="en-US"/>
              </w:rPr>
              <w:t>石油和天然气、风电、光伏及其他可再生能源项目</w:t>
            </w:r>
            <w:r w:rsidR="00E5496D" w:rsidRPr="00E5496D">
              <w:rPr>
                <w:rFonts w:ascii="宋体" w:hAnsi="宋体" w:cs="宋体"/>
                <w:lang w:val="en-US"/>
              </w:rPr>
              <w:t>开发与运营</w:t>
            </w:r>
            <w:r w:rsidR="009420AA" w:rsidRPr="009420AA">
              <w:rPr>
                <w:rFonts w:ascii="宋体" w:hAnsi="宋体" w:cs="宋体"/>
                <w:lang w:val="en-US"/>
              </w:rPr>
              <w:t>，以及低碳解决方案</w:t>
            </w:r>
            <w:r w:rsidR="00E5496D" w:rsidRPr="00E5496D">
              <w:rPr>
                <w:rFonts w:ascii="宋体" w:hAnsi="宋体" w:cs="宋体"/>
                <w:lang w:val="en-US"/>
              </w:rPr>
              <w:t>相关业务</w:t>
            </w:r>
            <w:r w:rsidRPr="00C003D4">
              <w:rPr>
                <w:rFonts w:ascii="宋体" w:hAnsi="宋体" w:cs="宋体"/>
                <w:lang w:val="en-US"/>
              </w:rPr>
              <w:t>。</w:t>
            </w:r>
          </w:p>
        </w:tc>
      </w:tr>
      <w:tr w:rsidR="00433451" w14:paraId="18B8119C" w14:textId="77777777">
        <w:trPr>
          <w:trHeight w:val="279"/>
        </w:trPr>
        <w:tc>
          <w:tcPr>
            <w:tcW w:w="1940" w:type="dxa"/>
            <w:vMerge w:val="restart"/>
            <w:shd w:val="clear" w:color="auto" w:fill="D9D9D9"/>
            <w:vAlign w:val="center"/>
          </w:tcPr>
          <w:p w14:paraId="713989E5" w14:textId="77777777" w:rsidR="00433451" w:rsidRDefault="00433451">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简易案件理由（可以单选，也可以多选）</w:t>
            </w:r>
          </w:p>
        </w:tc>
        <w:tc>
          <w:tcPr>
            <w:tcW w:w="7700" w:type="dxa"/>
            <w:gridSpan w:val="2"/>
            <w:vAlign w:val="center"/>
          </w:tcPr>
          <w:p w14:paraId="476C16EB" w14:textId="2FE97155" w:rsidR="00433451" w:rsidRDefault="00955415">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sidR="00433451">
              <w:rPr>
                <w:rFonts w:ascii="宋体" w:hAnsi="宋体" w:cs="宋体" w:hint="eastAsia"/>
                <w:bCs/>
                <w:color w:val="000000"/>
                <w:lang w:eastAsia="zh-CN"/>
              </w:rPr>
              <w:t xml:space="preserve"> 1、在同一相关市场，所有参与集中的经营者所占市场份额之和小于15%。</w:t>
            </w:r>
          </w:p>
        </w:tc>
      </w:tr>
      <w:tr w:rsidR="00433451" w14:paraId="18B3BE25" w14:textId="77777777">
        <w:trPr>
          <w:trHeight w:val="330"/>
        </w:trPr>
        <w:tc>
          <w:tcPr>
            <w:tcW w:w="1940" w:type="dxa"/>
            <w:vMerge/>
            <w:shd w:val="clear" w:color="auto" w:fill="D9D9D9"/>
            <w:vAlign w:val="center"/>
          </w:tcPr>
          <w:p w14:paraId="68885826" w14:textId="77777777" w:rsidR="00433451" w:rsidRDefault="00433451">
            <w:pPr>
              <w:pStyle w:val="BodyText"/>
              <w:adjustRightInd w:val="0"/>
              <w:snapToGrid w:val="0"/>
              <w:spacing w:after="0"/>
              <w:rPr>
                <w:rFonts w:ascii="宋体" w:hAnsi="宋体" w:cs="宋体"/>
                <w:bCs/>
                <w:color w:val="000000"/>
                <w:lang w:val="en-US" w:eastAsia="zh-CN"/>
              </w:rPr>
            </w:pPr>
          </w:p>
        </w:tc>
        <w:tc>
          <w:tcPr>
            <w:tcW w:w="7700" w:type="dxa"/>
            <w:gridSpan w:val="2"/>
            <w:vAlign w:val="center"/>
          </w:tcPr>
          <w:p w14:paraId="51AA98C6" w14:textId="14190D4F" w:rsidR="00433451" w:rsidRDefault="00D77324">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sidR="00433451">
              <w:rPr>
                <w:rFonts w:ascii="宋体" w:hAnsi="宋体" w:cs="宋体" w:hint="eastAsia"/>
                <w:bCs/>
                <w:color w:val="000000"/>
                <w:lang w:eastAsia="zh-CN"/>
              </w:rPr>
              <w:t xml:space="preserve"> 2、存在上下游关系的参与集中的经营者，在上下游市场所占的市场份额均小于25%。</w:t>
            </w:r>
          </w:p>
        </w:tc>
      </w:tr>
      <w:tr w:rsidR="00433451" w14:paraId="73CE6975" w14:textId="77777777">
        <w:trPr>
          <w:trHeight w:val="285"/>
        </w:trPr>
        <w:tc>
          <w:tcPr>
            <w:tcW w:w="1940" w:type="dxa"/>
            <w:vMerge/>
            <w:shd w:val="clear" w:color="auto" w:fill="D9D9D9"/>
            <w:vAlign w:val="center"/>
          </w:tcPr>
          <w:p w14:paraId="42925F97" w14:textId="77777777" w:rsidR="00433451" w:rsidRDefault="00433451">
            <w:pPr>
              <w:pStyle w:val="BodyText"/>
              <w:adjustRightInd w:val="0"/>
              <w:snapToGrid w:val="0"/>
              <w:spacing w:after="0"/>
              <w:rPr>
                <w:rFonts w:ascii="宋体" w:hAnsi="宋体" w:cs="宋体"/>
                <w:bCs/>
                <w:color w:val="000000"/>
                <w:lang w:val="en-US" w:eastAsia="zh-CN"/>
              </w:rPr>
            </w:pPr>
          </w:p>
        </w:tc>
        <w:tc>
          <w:tcPr>
            <w:tcW w:w="7700" w:type="dxa"/>
            <w:gridSpan w:val="2"/>
            <w:vAlign w:val="center"/>
          </w:tcPr>
          <w:p w14:paraId="046A0F02" w14:textId="42B03FD4" w:rsidR="00433451" w:rsidRDefault="00433451">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3、不在同一相关市场、也不存在上下游关系的参与集中的经营者，在与交易有关的每个市场所占的份额均小于25%。</w:t>
            </w:r>
          </w:p>
        </w:tc>
      </w:tr>
      <w:tr w:rsidR="00433451" w14:paraId="1A516142" w14:textId="77777777">
        <w:trPr>
          <w:trHeight w:val="870"/>
        </w:trPr>
        <w:tc>
          <w:tcPr>
            <w:tcW w:w="1940" w:type="dxa"/>
            <w:vMerge/>
            <w:shd w:val="clear" w:color="auto" w:fill="D9D9D9"/>
            <w:vAlign w:val="center"/>
          </w:tcPr>
          <w:p w14:paraId="50B0B460" w14:textId="77777777" w:rsidR="00433451" w:rsidRDefault="00433451">
            <w:pPr>
              <w:pStyle w:val="BodyText"/>
              <w:adjustRightInd w:val="0"/>
              <w:snapToGrid w:val="0"/>
              <w:spacing w:after="0"/>
              <w:rPr>
                <w:rFonts w:ascii="宋体" w:hAnsi="宋体" w:cs="宋体"/>
                <w:bCs/>
                <w:color w:val="000000"/>
                <w:lang w:val="en-US" w:eastAsia="zh-CN"/>
              </w:rPr>
            </w:pPr>
          </w:p>
        </w:tc>
        <w:tc>
          <w:tcPr>
            <w:tcW w:w="7700" w:type="dxa"/>
            <w:gridSpan w:val="2"/>
            <w:vAlign w:val="center"/>
          </w:tcPr>
          <w:p w14:paraId="26049EEB" w14:textId="406720C3" w:rsidR="00433451" w:rsidRDefault="007D0ABF">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FE"/>
            </w:r>
            <w:r w:rsidR="00433451">
              <w:rPr>
                <w:rFonts w:ascii="宋体" w:hAnsi="宋体" w:cs="宋体" w:hint="eastAsia"/>
                <w:bCs/>
                <w:color w:val="000000"/>
                <w:lang w:eastAsia="zh-CN"/>
              </w:rPr>
              <w:t xml:space="preserve"> 4、参与集中的经营者在中国境外设立合营企业，合营企业不在中国境内从事经济活动。</w:t>
            </w:r>
          </w:p>
        </w:tc>
      </w:tr>
      <w:tr w:rsidR="00433451" w14:paraId="0210F440" w14:textId="77777777">
        <w:trPr>
          <w:trHeight w:val="264"/>
        </w:trPr>
        <w:tc>
          <w:tcPr>
            <w:tcW w:w="1940" w:type="dxa"/>
            <w:vMerge/>
            <w:shd w:val="clear" w:color="auto" w:fill="D9D9D9"/>
            <w:vAlign w:val="center"/>
          </w:tcPr>
          <w:p w14:paraId="3F0CEA2F" w14:textId="77777777" w:rsidR="00433451" w:rsidRDefault="00433451">
            <w:pPr>
              <w:pStyle w:val="BodyText"/>
              <w:adjustRightInd w:val="0"/>
              <w:snapToGrid w:val="0"/>
              <w:spacing w:after="0"/>
              <w:rPr>
                <w:rFonts w:ascii="宋体" w:hAnsi="宋体" w:cs="宋体"/>
                <w:bCs/>
                <w:color w:val="000000"/>
                <w:lang w:val="en-US" w:eastAsia="zh-CN"/>
              </w:rPr>
            </w:pPr>
          </w:p>
        </w:tc>
        <w:tc>
          <w:tcPr>
            <w:tcW w:w="7700" w:type="dxa"/>
            <w:gridSpan w:val="2"/>
            <w:vAlign w:val="center"/>
          </w:tcPr>
          <w:p w14:paraId="6D80D24E" w14:textId="4F60AD6F" w:rsidR="00433451" w:rsidRDefault="007D0ABF">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sidR="00433451">
              <w:rPr>
                <w:rFonts w:ascii="宋体" w:hAnsi="宋体" w:cs="宋体" w:hint="eastAsia"/>
                <w:bCs/>
                <w:color w:val="000000"/>
                <w:lang w:eastAsia="zh-CN"/>
              </w:rPr>
              <w:t xml:space="preserve"> 5、参与集中的经营者收购境外企业股权或资产的，该境外企业不在中国境内从事经济活动。</w:t>
            </w:r>
          </w:p>
        </w:tc>
      </w:tr>
      <w:tr w:rsidR="00433451" w14:paraId="75382027" w14:textId="77777777">
        <w:trPr>
          <w:trHeight w:val="345"/>
        </w:trPr>
        <w:tc>
          <w:tcPr>
            <w:tcW w:w="1940" w:type="dxa"/>
            <w:vMerge/>
            <w:shd w:val="clear" w:color="auto" w:fill="D9D9D9"/>
            <w:vAlign w:val="center"/>
          </w:tcPr>
          <w:p w14:paraId="5F76DCBE" w14:textId="77777777" w:rsidR="00433451" w:rsidRDefault="00433451">
            <w:pPr>
              <w:pStyle w:val="BodyText"/>
              <w:adjustRightInd w:val="0"/>
              <w:snapToGrid w:val="0"/>
              <w:spacing w:after="0"/>
              <w:rPr>
                <w:rFonts w:ascii="宋体" w:hAnsi="宋体" w:cs="宋体"/>
                <w:bCs/>
                <w:color w:val="000000"/>
                <w:lang w:val="en-US" w:eastAsia="zh-CN"/>
              </w:rPr>
            </w:pPr>
          </w:p>
        </w:tc>
        <w:tc>
          <w:tcPr>
            <w:tcW w:w="7700" w:type="dxa"/>
            <w:gridSpan w:val="2"/>
            <w:vAlign w:val="center"/>
          </w:tcPr>
          <w:p w14:paraId="6DFF4648" w14:textId="77777777" w:rsidR="00433451" w:rsidRDefault="00433451">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6、由两个以上的经营者共同控制的合营企业，通过集中被其中一个或一个以上经营者控制。</w:t>
            </w:r>
          </w:p>
        </w:tc>
      </w:tr>
      <w:tr w:rsidR="00433451" w14:paraId="4A9F4389" w14:textId="77777777" w:rsidTr="00072D9D">
        <w:trPr>
          <w:trHeight w:val="794"/>
        </w:trPr>
        <w:tc>
          <w:tcPr>
            <w:tcW w:w="1940" w:type="dxa"/>
            <w:shd w:val="clear" w:color="auto" w:fill="D9D9D9"/>
            <w:vAlign w:val="center"/>
          </w:tcPr>
          <w:p w14:paraId="05367CDF" w14:textId="77777777" w:rsidR="00433451" w:rsidRDefault="00433451">
            <w:pPr>
              <w:pStyle w:val="BodyText"/>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备注</w:t>
            </w:r>
          </w:p>
        </w:tc>
        <w:tc>
          <w:tcPr>
            <w:tcW w:w="7700" w:type="dxa"/>
            <w:gridSpan w:val="2"/>
            <w:vAlign w:val="center"/>
          </w:tcPr>
          <w:p w14:paraId="07726527" w14:textId="4CAED849" w:rsidR="00433451" w:rsidRPr="00955415" w:rsidRDefault="00955415" w:rsidP="00955415">
            <w:pPr>
              <w:pStyle w:val="BodyText"/>
              <w:adjustRightInd w:val="0"/>
              <w:snapToGrid w:val="0"/>
              <w:spacing w:after="0"/>
              <w:rPr>
                <w:rFonts w:ascii="宋体" w:hAnsi="宋体" w:cs="宋体"/>
                <w:bCs/>
                <w:color w:val="000000"/>
                <w:lang w:val="en-US" w:eastAsia="zh-CN"/>
              </w:rPr>
            </w:pPr>
            <w:r w:rsidRPr="00955415">
              <w:rPr>
                <w:rFonts w:ascii="宋体" w:hAnsi="宋体" w:cs="宋体" w:hint="eastAsia"/>
                <w:bCs/>
                <w:color w:val="000000"/>
                <w:lang w:eastAsia="zh-CN"/>
              </w:rPr>
              <w:t>不适用</w:t>
            </w:r>
          </w:p>
        </w:tc>
      </w:tr>
    </w:tbl>
    <w:p w14:paraId="7F93EFDB" w14:textId="0997D89F" w:rsidR="00433451" w:rsidRDefault="00433451" w:rsidP="00072D9D">
      <w:pPr>
        <w:pStyle w:val="BodyText"/>
        <w:rPr>
          <w:rFonts w:ascii="宋体" w:hAnsi="宋体" w:cs="宋体"/>
          <w:bCs/>
          <w:color w:val="000000"/>
          <w:sz w:val="28"/>
          <w:szCs w:val="28"/>
          <w:lang w:eastAsia="zh-CN"/>
        </w:rPr>
      </w:pPr>
    </w:p>
    <w:sectPr w:rsidR="00433451">
      <w:footerReference w:type="default" r:id="rId8"/>
      <w:pgSz w:w="11906" w:h="16838"/>
      <w:pgMar w:top="1440" w:right="1440" w:bottom="1276" w:left="1440" w:header="720" w:footer="34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CAHUAbABsAGUAdAAgAEwAMQA=" wne:acdName="acd0" wne:fciIndexBasedOn="0065"/>
    <wne:acd wne:argValue="AgBCAHUAbABsAGUAdAAgAEwAMgA=" wne:acdName="acd1" wne:fciIndexBasedOn="0065"/>
    <wne:acd wne:argValue="AgBCAHUAbABsAGUAdAAgAEwAMwA=" wne:acdName="acd2" wne:fciIndexBasedOn="0065"/>
    <wne:acd wne:argValue="AgBCAHUAbABsAGUAdAAgAEwANAA=" wne:acdName="acd3" wne:fciIndexBasedOn="0065"/>
    <wne:acd wne:argValue="AgBCAHUAbABsAGUAdAAgAEwANQA=" wne:acdName="acd4" wne:fciIndexBasedOn="0065"/>
    <wne:acd wne:argValue="AgBCAHUAbABsAGUAdAAgAEwANgA=" wne:acdName="acd5" wne:fciIndexBasedOn="0065"/>
    <wne:acd wne:argValue="AgBCAHUAbABsAGUAdAAgAEwANwA=" wne:acdName="acd6" wne:fciIndexBasedOn="0065"/>
    <wne:acd wne:argValue="AgBCAHUAbABsAGUAdAAgAEwAOAA=" wne:acdName="acd7" wne:fciIndexBasedOn="0065"/>
    <wne:acd wne:argValue="AgBCAHUAbABsAGUAdAAgAEwAOQA=" wne:acdName="acd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9E710" w14:textId="77777777" w:rsidR="00085C86" w:rsidRDefault="00085C86">
      <w:pPr>
        <w:spacing w:after="0"/>
      </w:pPr>
      <w:r>
        <w:separator/>
      </w:r>
    </w:p>
  </w:endnote>
  <w:endnote w:type="continuationSeparator" w:id="0">
    <w:p w14:paraId="276265ED" w14:textId="77777777" w:rsidR="00085C86" w:rsidRDefault="00085C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fixed"/>
    <w:sig w:usb0="800002BF" w:usb1="38CF7CFA" w:usb2="00000016" w:usb3="00000000" w:csb0="00040001" w:csb1="00000000"/>
  </w:font>
  <w:font w:name="SimHei">
    <w:panose1 w:val="0201060003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000" w:firstRow="0" w:lastRow="0" w:firstColumn="0" w:lastColumn="0" w:noHBand="0" w:noVBand="0"/>
    </w:tblPr>
    <w:tblGrid>
      <w:gridCol w:w="3007"/>
      <w:gridCol w:w="3011"/>
      <w:gridCol w:w="3008"/>
    </w:tblGrid>
    <w:tr w:rsidR="00433451" w14:paraId="67A3DE23" w14:textId="77777777">
      <w:tc>
        <w:tcPr>
          <w:tcW w:w="3080" w:type="dxa"/>
        </w:tcPr>
        <w:p w14:paraId="7B130B52" w14:textId="77777777" w:rsidR="00433451" w:rsidRDefault="00433451">
          <w:pPr>
            <w:pStyle w:val="Footer"/>
          </w:pPr>
        </w:p>
      </w:tc>
      <w:tc>
        <w:tcPr>
          <w:tcW w:w="3081" w:type="dxa"/>
        </w:tcPr>
        <w:p w14:paraId="24A63E0E" w14:textId="77777777" w:rsidR="00433451" w:rsidRDefault="00433451">
          <w:pPr>
            <w:pStyle w:val="Footer"/>
            <w:jc w:val="center"/>
            <w:rPr>
              <w:rStyle w:val="PageNumber"/>
              <w:rFonts w:cs="Times New Roman"/>
            </w:rPr>
          </w:pPr>
          <w:r>
            <w:rPr>
              <w:rStyle w:val="PageNumber"/>
              <w:rFonts w:cs="Times New Roman"/>
            </w:rPr>
            <w:t xml:space="preserve">- </w:t>
          </w:r>
          <w:r>
            <w:rPr>
              <w:rStyle w:val="PageNumber"/>
              <w:rFonts w:cs="Times New Roman"/>
            </w:rPr>
            <w:fldChar w:fldCharType="begin"/>
          </w:r>
          <w:r>
            <w:rPr>
              <w:rStyle w:val="PageNumber"/>
              <w:rFonts w:cs="Times New Roman"/>
            </w:rPr>
            <w:instrText xml:space="preserve"> PAGE   \* MERGEFORMAT </w:instrText>
          </w:r>
          <w:r>
            <w:rPr>
              <w:rStyle w:val="PageNumber"/>
              <w:rFonts w:cs="Times New Roman"/>
            </w:rPr>
            <w:fldChar w:fldCharType="separate"/>
          </w:r>
          <w:r>
            <w:rPr>
              <w:rStyle w:val="PageNumber"/>
              <w:rFonts w:cs="Times New Roman"/>
            </w:rPr>
            <w:t>2</w:t>
          </w:r>
          <w:r>
            <w:rPr>
              <w:rStyle w:val="PageNumber"/>
              <w:rFonts w:cs="Times New Roman"/>
            </w:rPr>
            <w:fldChar w:fldCharType="end"/>
          </w:r>
          <w:r>
            <w:rPr>
              <w:rStyle w:val="PageNumber"/>
              <w:rFonts w:cs="Times New Roman"/>
            </w:rPr>
            <w:t xml:space="preserve"> -</w:t>
          </w:r>
        </w:p>
      </w:tc>
      <w:tc>
        <w:tcPr>
          <w:tcW w:w="3081" w:type="dxa"/>
        </w:tcPr>
        <w:p w14:paraId="18A75CE8" w14:textId="77777777" w:rsidR="00433451" w:rsidRDefault="00433451">
          <w:pPr>
            <w:pStyle w:val="FooterRight"/>
          </w:pPr>
        </w:p>
      </w:tc>
    </w:tr>
  </w:tbl>
  <w:p w14:paraId="148DC4DA" w14:textId="77777777" w:rsidR="00433451" w:rsidRDefault="004334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19AB2" w14:textId="77777777" w:rsidR="00085C86" w:rsidRDefault="00085C86">
      <w:pPr>
        <w:spacing w:after="0"/>
      </w:pPr>
      <w:r>
        <w:separator/>
      </w:r>
    </w:p>
  </w:footnote>
  <w:footnote w:type="continuationSeparator" w:id="0">
    <w:p w14:paraId="53454EA1" w14:textId="77777777" w:rsidR="00085C86" w:rsidRDefault="00085C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95CAD"/>
    <w:multiLevelType w:val="multilevel"/>
    <w:tmpl w:val="25195CAD"/>
    <w:name w:val="Bullet"/>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15:restartNumberingAfterBreak="0">
    <w:nsid w:val="4F0244F7"/>
    <w:multiLevelType w:val="multilevel"/>
    <w:tmpl w:val="4F0244F7"/>
    <w:name w:val="Normal + Left"/>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50367718"/>
    <w:multiLevelType w:val="hybridMultilevel"/>
    <w:tmpl w:val="34C4AE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B4F0377"/>
    <w:multiLevelType w:val="multilevel"/>
    <w:tmpl w:val="6B4F0377"/>
    <w:name w:val="Standard"/>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16cid:durableId="1721976895">
    <w:abstractNumId w:val="3"/>
  </w:num>
  <w:num w:numId="2" w16cid:durableId="1630672910">
    <w:abstractNumId w:val="0"/>
  </w:num>
  <w:num w:numId="3" w16cid:durableId="402877447">
    <w:abstractNumId w:val="1"/>
  </w:num>
  <w:num w:numId="4" w16cid:durableId="20026534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QFSet/>
  <w:defaultTabStop w:val="720"/>
  <w:drawingGridHorizontalSpacing w:val="1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ECC"/>
    <w:rsid w:val="000024FF"/>
    <w:rsid w:val="000027BD"/>
    <w:rsid w:val="000150B7"/>
    <w:rsid w:val="00021AB2"/>
    <w:rsid w:val="000326C8"/>
    <w:rsid w:val="00041C40"/>
    <w:rsid w:val="0004292A"/>
    <w:rsid w:val="000467AA"/>
    <w:rsid w:val="00062616"/>
    <w:rsid w:val="000640A8"/>
    <w:rsid w:val="000725CA"/>
    <w:rsid w:val="00072D9D"/>
    <w:rsid w:val="00073E6B"/>
    <w:rsid w:val="00075481"/>
    <w:rsid w:val="0007723F"/>
    <w:rsid w:val="00077D60"/>
    <w:rsid w:val="00083590"/>
    <w:rsid w:val="00085C86"/>
    <w:rsid w:val="00092F4E"/>
    <w:rsid w:val="000A1046"/>
    <w:rsid w:val="000A7357"/>
    <w:rsid w:val="000B0D3A"/>
    <w:rsid w:val="000B58E5"/>
    <w:rsid w:val="000B653C"/>
    <w:rsid w:val="000C6953"/>
    <w:rsid w:val="000C7BD8"/>
    <w:rsid w:val="000E29A9"/>
    <w:rsid w:val="000E3A81"/>
    <w:rsid w:val="000E61C2"/>
    <w:rsid w:val="0010351D"/>
    <w:rsid w:val="00107E19"/>
    <w:rsid w:val="00107FD3"/>
    <w:rsid w:val="00115F62"/>
    <w:rsid w:val="00123E26"/>
    <w:rsid w:val="001451B6"/>
    <w:rsid w:val="00145B05"/>
    <w:rsid w:val="001501EE"/>
    <w:rsid w:val="00153E45"/>
    <w:rsid w:val="001639D8"/>
    <w:rsid w:val="00172BE1"/>
    <w:rsid w:val="00186A05"/>
    <w:rsid w:val="0019131C"/>
    <w:rsid w:val="001965E2"/>
    <w:rsid w:val="001A1098"/>
    <w:rsid w:val="001A3FDC"/>
    <w:rsid w:val="001B4EA1"/>
    <w:rsid w:val="001C5840"/>
    <w:rsid w:val="001D1555"/>
    <w:rsid w:val="001D58AE"/>
    <w:rsid w:val="001D6168"/>
    <w:rsid w:val="001E0F1F"/>
    <w:rsid w:val="001E5BC1"/>
    <w:rsid w:val="001F346E"/>
    <w:rsid w:val="001F35AA"/>
    <w:rsid w:val="001F367B"/>
    <w:rsid w:val="00224A7C"/>
    <w:rsid w:val="002278D1"/>
    <w:rsid w:val="00231665"/>
    <w:rsid w:val="00233737"/>
    <w:rsid w:val="00236A13"/>
    <w:rsid w:val="002403B5"/>
    <w:rsid w:val="002412A3"/>
    <w:rsid w:val="00245281"/>
    <w:rsid w:val="00250E61"/>
    <w:rsid w:val="00261F94"/>
    <w:rsid w:val="00267941"/>
    <w:rsid w:val="00287E91"/>
    <w:rsid w:val="00291652"/>
    <w:rsid w:val="002964A1"/>
    <w:rsid w:val="002A25F2"/>
    <w:rsid w:val="002A7C26"/>
    <w:rsid w:val="002C18F4"/>
    <w:rsid w:val="002D6461"/>
    <w:rsid w:val="002F09A7"/>
    <w:rsid w:val="002F5271"/>
    <w:rsid w:val="002F6311"/>
    <w:rsid w:val="002F76D1"/>
    <w:rsid w:val="00306B88"/>
    <w:rsid w:val="00310488"/>
    <w:rsid w:val="00310A4B"/>
    <w:rsid w:val="00311263"/>
    <w:rsid w:val="00314104"/>
    <w:rsid w:val="00317C9F"/>
    <w:rsid w:val="0034107F"/>
    <w:rsid w:val="00344D27"/>
    <w:rsid w:val="00353485"/>
    <w:rsid w:val="00354AEE"/>
    <w:rsid w:val="0035604C"/>
    <w:rsid w:val="0036521B"/>
    <w:rsid w:val="00371332"/>
    <w:rsid w:val="00383DEC"/>
    <w:rsid w:val="003850D4"/>
    <w:rsid w:val="00385F00"/>
    <w:rsid w:val="003866EF"/>
    <w:rsid w:val="00395959"/>
    <w:rsid w:val="003A4565"/>
    <w:rsid w:val="003B2280"/>
    <w:rsid w:val="003B27EC"/>
    <w:rsid w:val="003B2F86"/>
    <w:rsid w:val="003B4439"/>
    <w:rsid w:val="003B4C9E"/>
    <w:rsid w:val="003B7CBC"/>
    <w:rsid w:val="003C3456"/>
    <w:rsid w:val="003C5CCA"/>
    <w:rsid w:val="003E2932"/>
    <w:rsid w:val="003E3B57"/>
    <w:rsid w:val="003E73DB"/>
    <w:rsid w:val="003F57F2"/>
    <w:rsid w:val="00405EBA"/>
    <w:rsid w:val="00410914"/>
    <w:rsid w:val="004119F5"/>
    <w:rsid w:val="004166B2"/>
    <w:rsid w:val="004203EF"/>
    <w:rsid w:val="00427E52"/>
    <w:rsid w:val="00433451"/>
    <w:rsid w:val="00446353"/>
    <w:rsid w:val="0044739B"/>
    <w:rsid w:val="00452773"/>
    <w:rsid w:val="00467A6B"/>
    <w:rsid w:val="004768DF"/>
    <w:rsid w:val="00483B45"/>
    <w:rsid w:val="004845A0"/>
    <w:rsid w:val="0049529E"/>
    <w:rsid w:val="0049707A"/>
    <w:rsid w:val="004973DB"/>
    <w:rsid w:val="0049771A"/>
    <w:rsid w:val="004A3578"/>
    <w:rsid w:val="004A4BF1"/>
    <w:rsid w:val="004C3420"/>
    <w:rsid w:val="004D018B"/>
    <w:rsid w:val="004D124C"/>
    <w:rsid w:val="004D4435"/>
    <w:rsid w:val="004D496A"/>
    <w:rsid w:val="004E4497"/>
    <w:rsid w:val="00512A53"/>
    <w:rsid w:val="00523905"/>
    <w:rsid w:val="005251B9"/>
    <w:rsid w:val="00530BB4"/>
    <w:rsid w:val="005420FA"/>
    <w:rsid w:val="00545A47"/>
    <w:rsid w:val="00557C09"/>
    <w:rsid w:val="0057200D"/>
    <w:rsid w:val="005919B8"/>
    <w:rsid w:val="00591CEC"/>
    <w:rsid w:val="005965FC"/>
    <w:rsid w:val="00596A7B"/>
    <w:rsid w:val="005A4C88"/>
    <w:rsid w:val="005B0CEB"/>
    <w:rsid w:val="005B18A3"/>
    <w:rsid w:val="005D277C"/>
    <w:rsid w:val="005D4917"/>
    <w:rsid w:val="005D6D17"/>
    <w:rsid w:val="005E1BEE"/>
    <w:rsid w:val="005E449A"/>
    <w:rsid w:val="005E62B2"/>
    <w:rsid w:val="005E7B2F"/>
    <w:rsid w:val="005F5280"/>
    <w:rsid w:val="005F7223"/>
    <w:rsid w:val="0060413B"/>
    <w:rsid w:val="00604CDD"/>
    <w:rsid w:val="00605EE6"/>
    <w:rsid w:val="0060669E"/>
    <w:rsid w:val="00614EBB"/>
    <w:rsid w:val="0061583E"/>
    <w:rsid w:val="00617BCA"/>
    <w:rsid w:val="00631C64"/>
    <w:rsid w:val="00632159"/>
    <w:rsid w:val="0064553E"/>
    <w:rsid w:val="00645B6A"/>
    <w:rsid w:val="00650540"/>
    <w:rsid w:val="00654F07"/>
    <w:rsid w:val="00655225"/>
    <w:rsid w:val="00655614"/>
    <w:rsid w:val="00664174"/>
    <w:rsid w:val="006643EA"/>
    <w:rsid w:val="0067348D"/>
    <w:rsid w:val="00673C47"/>
    <w:rsid w:val="006745A9"/>
    <w:rsid w:val="0067710E"/>
    <w:rsid w:val="00682729"/>
    <w:rsid w:val="00683F1B"/>
    <w:rsid w:val="00687118"/>
    <w:rsid w:val="00696A2F"/>
    <w:rsid w:val="006A00A9"/>
    <w:rsid w:val="006A72C5"/>
    <w:rsid w:val="006B4541"/>
    <w:rsid w:val="006B6B4E"/>
    <w:rsid w:val="006D1E2B"/>
    <w:rsid w:val="006E0D98"/>
    <w:rsid w:val="006E3180"/>
    <w:rsid w:val="006E5EF9"/>
    <w:rsid w:val="006E62A3"/>
    <w:rsid w:val="006E6E26"/>
    <w:rsid w:val="006E70AA"/>
    <w:rsid w:val="006F7A98"/>
    <w:rsid w:val="007029CB"/>
    <w:rsid w:val="00705778"/>
    <w:rsid w:val="00710CD9"/>
    <w:rsid w:val="0071373B"/>
    <w:rsid w:val="00720F7B"/>
    <w:rsid w:val="00726B19"/>
    <w:rsid w:val="00727BD0"/>
    <w:rsid w:val="007324C1"/>
    <w:rsid w:val="00736390"/>
    <w:rsid w:val="007366F5"/>
    <w:rsid w:val="007373F0"/>
    <w:rsid w:val="00742AFE"/>
    <w:rsid w:val="00742EDF"/>
    <w:rsid w:val="007472B8"/>
    <w:rsid w:val="007472DD"/>
    <w:rsid w:val="00750119"/>
    <w:rsid w:val="00751131"/>
    <w:rsid w:val="00751420"/>
    <w:rsid w:val="0075281B"/>
    <w:rsid w:val="007552F5"/>
    <w:rsid w:val="00764020"/>
    <w:rsid w:val="007674D7"/>
    <w:rsid w:val="00772298"/>
    <w:rsid w:val="0079359C"/>
    <w:rsid w:val="00794062"/>
    <w:rsid w:val="00797584"/>
    <w:rsid w:val="007A2D94"/>
    <w:rsid w:val="007A574D"/>
    <w:rsid w:val="007B4353"/>
    <w:rsid w:val="007B651A"/>
    <w:rsid w:val="007B6ED8"/>
    <w:rsid w:val="007B75E4"/>
    <w:rsid w:val="007D0ABF"/>
    <w:rsid w:val="007D622A"/>
    <w:rsid w:val="007E2608"/>
    <w:rsid w:val="007F1726"/>
    <w:rsid w:val="007F33D4"/>
    <w:rsid w:val="007F371A"/>
    <w:rsid w:val="007F6CF4"/>
    <w:rsid w:val="0080200E"/>
    <w:rsid w:val="00803A33"/>
    <w:rsid w:val="008051ED"/>
    <w:rsid w:val="00811775"/>
    <w:rsid w:val="00820945"/>
    <w:rsid w:val="00821D1F"/>
    <w:rsid w:val="008248B2"/>
    <w:rsid w:val="00834D88"/>
    <w:rsid w:val="00847B6C"/>
    <w:rsid w:val="0086180E"/>
    <w:rsid w:val="00864085"/>
    <w:rsid w:val="008653D0"/>
    <w:rsid w:val="00867465"/>
    <w:rsid w:val="008729F8"/>
    <w:rsid w:val="00872D0C"/>
    <w:rsid w:val="008803D0"/>
    <w:rsid w:val="00880F24"/>
    <w:rsid w:val="008836AF"/>
    <w:rsid w:val="00885C9B"/>
    <w:rsid w:val="008912EE"/>
    <w:rsid w:val="00893879"/>
    <w:rsid w:val="008A3037"/>
    <w:rsid w:val="008A5F2B"/>
    <w:rsid w:val="008B2172"/>
    <w:rsid w:val="008D17AD"/>
    <w:rsid w:val="008D4ED8"/>
    <w:rsid w:val="008D644E"/>
    <w:rsid w:val="008E15EB"/>
    <w:rsid w:val="008E250D"/>
    <w:rsid w:val="008E5BCA"/>
    <w:rsid w:val="008F1777"/>
    <w:rsid w:val="009022B0"/>
    <w:rsid w:val="00902602"/>
    <w:rsid w:val="00905F4A"/>
    <w:rsid w:val="0091312F"/>
    <w:rsid w:val="009145E4"/>
    <w:rsid w:val="00914903"/>
    <w:rsid w:val="009301D9"/>
    <w:rsid w:val="00936FB8"/>
    <w:rsid w:val="00937496"/>
    <w:rsid w:val="009420AA"/>
    <w:rsid w:val="0094346F"/>
    <w:rsid w:val="0095281C"/>
    <w:rsid w:val="00953187"/>
    <w:rsid w:val="009551E9"/>
    <w:rsid w:val="00955415"/>
    <w:rsid w:val="00955A27"/>
    <w:rsid w:val="009617CE"/>
    <w:rsid w:val="00961D70"/>
    <w:rsid w:val="0096333E"/>
    <w:rsid w:val="009668EC"/>
    <w:rsid w:val="00977C3B"/>
    <w:rsid w:val="00982D3D"/>
    <w:rsid w:val="009845F7"/>
    <w:rsid w:val="009901B5"/>
    <w:rsid w:val="009A0BCC"/>
    <w:rsid w:val="009A2EFA"/>
    <w:rsid w:val="009A57C5"/>
    <w:rsid w:val="009A6CD4"/>
    <w:rsid w:val="009A6E66"/>
    <w:rsid w:val="009B0211"/>
    <w:rsid w:val="009B6EC0"/>
    <w:rsid w:val="009C16F8"/>
    <w:rsid w:val="009C1DE7"/>
    <w:rsid w:val="009C5625"/>
    <w:rsid w:val="009C5962"/>
    <w:rsid w:val="009D0999"/>
    <w:rsid w:val="009D6937"/>
    <w:rsid w:val="009F0698"/>
    <w:rsid w:val="00A05705"/>
    <w:rsid w:val="00A14F20"/>
    <w:rsid w:val="00A15810"/>
    <w:rsid w:val="00A16097"/>
    <w:rsid w:val="00A16F03"/>
    <w:rsid w:val="00A21136"/>
    <w:rsid w:val="00A223C4"/>
    <w:rsid w:val="00A26DE5"/>
    <w:rsid w:val="00A3323A"/>
    <w:rsid w:val="00A36DB5"/>
    <w:rsid w:val="00A46C66"/>
    <w:rsid w:val="00A46FAF"/>
    <w:rsid w:val="00A519C7"/>
    <w:rsid w:val="00A5674A"/>
    <w:rsid w:val="00A623EF"/>
    <w:rsid w:val="00A641AD"/>
    <w:rsid w:val="00A64F91"/>
    <w:rsid w:val="00A65FED"/>
    <w:rsid w:val="00A66CDF"/>
    <w:rsid w:val="00A7438D"/>
    <w:rsid w:val="00A74797"/>
    <w:rsid w:val="00A7601D"/>
    <w:rsid w:val="00A81984"/>
    <w:rsid w:val="00AA0F23"/>
    <w:rsid w:val="00AA3E2F"/>
    <w:rsid w:val="00AA46CA"/>
    <w:rsid w:val="00AA535B"/>
    <w:rsid w:val="00AC07BC"/>
    <w:rsid w:val="00AC3273"/>
    <w:rsid w:val="00AC68C4"/>
    <w:rsid w:val="00AD310D"/>
    <w:rsid w:val="00AD3D4D"/>
    <w:rsid w:val="00AE4069"/>
    <w:rsid w:val="00AE5799"/>
    <w:rsid w:val="00AE7916"/>
    <w:rsid w:val="00AF09EA"/>
    <w:rsid w:val="00AF1BC5"/>
    <w:rsid w:val="00AF1D6D"/>
    <w:rsid w:val="00AF5632"/>
    <w:rsid w:val="00AF6F8A"/>
    <w:rsid w:val="00B04913"/>
    <w:rsid w:val="00B2169A"/>
    <w:rsid w:val="00B24C33"/>
    <w:rsid w:val="00B31D4D"/>
    <w:rsid w:val="00B3616B"/>
    <w:rsid w:val="00B37633"/>
    <w:rsid w:val="00B377DC"/>
    <w:rsid w:val="00B41DFB"/>
    <w:rsid w:val="00B43D72"/>
    <w:rsid w:val="00B50A28"/>
    <w:rsid w:val="00B518C9"/>
    <w:rsid w:val="00B52EAC"/>
    <w:rsid w:val="00B54969"/>
    <w:rsid w:val="00B80B9E"/>
    <w:rsid w:val="00B838DA"/>
    <w:rsid w:val="00B84E14"/>
    <w:rsid w:val="00B86E3A"/>
    <w:rsid w:val="00B87346"/>
    <w:rsid w:val="00BA017F"/>
    <w:rsid w:val="00BC0EA7"/>
    <w:rsid w:val="00BC7921"/>
    <w:rsid w:val="00BD535F"/>
    <w:rsid w:val="00BE6E64"/>
    <w:rsid w:val="00BF31B7"/>
    <w:rsid w:val="00BF4F99"/>
    <w:rsid w:val="00C003D4"/>
    <w:rsid w:val="00C10048"/>
    <w:rsid w:val="00C12CBF"/>
    <w:rsid w:val="00C30E9B"/>
    <w:rsid w:val="00C424FC"/>
    <w:rsid w:val="00C47906"/>
    <w:rsid w:val="00C51ECC"/>
    <w:rsid w:val="00C57A28"/>
    <w:rsid w:val="00C600D9"/>
    <w:rsid w:val="00C64D79"/>
    <w:rsid w:val="00C67ADA"/>
    <w:rsid w:val="00C75568"/>
    <w:rsid w:val="00C810E8"/>
    <w:rsid w:val="00C847C2"/>
    <w:rsid w:val="00C9354C"/>
    <w:rsid w:val="00CA3578"/>
    <w:rsid w:val="00CA6613"/>
    <w:rsid w:val="00CC69AD"/>
    <w:rsid w:val="00CE0FF0"/>
    <w:rsid w:val="00CE5431"/>
    <w:rsid w:val="00CE5623"/>
    <w:rsid w:val="00CF1664"/>
    <w:rsid w:val="00CF5A8A"/>
    <w:rsid w:val="00D01278"/>
    <w:rsid w:val="00D10BBC"/>
    <w:rsid w:val="00D11364"/>
    <w:rsid w:val="00D12AB1"/>
    <w:rsid w:val="00D21759"/>
    <w:rsid w:val="00D23B36"/>
    <w:rsid w:val="00D27AEB"/>
    <w:rsid w:val="00D53BAE"/>
    <w:rsid w:val="00D57DBA"/>
    <w:rsid w:val="00D57EBC"/>
    <w:rsid w:val="00D71F76"/>
    <w:rsid w:val="00D72E5D"/>
    <w:rsid w:val="00D77095"/>
    <w:rsid w:val="00D77324"/>
    <w:rsid w:val="00D80573"/>
    <w:rsid w:val="00D87319"/>
    <w:rsid w:val="00D913E9"/>
    <w:rsid w:val="00D94388"/>
    <w:rsid w:val="00D94BB1"/>
    <w:rsid w:val="00D961C9"/>
    <w:rsid w:val="00D97B80"/>
    <w:rsid w:val="00DA1D73"/>
    <w:rsid w:val="00DA32D0"/>
    <w:rsid w:val="00DA5D6B"/>
    <w:rsid w:val="00DB2761"/>
    <w:rsid w:val="00DB2FF6"/>
    <w:rsid w:val="00DD0E0C"/>
    <w:rsid w:val="00DD7765"/>
    <w:rsid w:val="00DE0640"/>
    <w:rsid w:val="00DE522D"/>
    <w:rsid w:val="00DF5C28"/>
    <w:rsid w:val="00DF78B1"/>
    <w:rsid w:val="00E036BD"/>
    <w:rsid w:val="00E04A75"/>
    <w:rsid w:val="00E23955"/>
    <w:rsid w:val="00E417DF"/>
    <w:rsid w:val="00E47327"/>
    <w:rsid w:val="00E5496D"/>
    <w:rsid w:val="00E55FEC"/>
    <w:rsid w:val="00E73207"/>
    <w:rsid w:val="00E7385D"/>
    <w:rsid w:val="00E86579"/>
    <w:rsid w:val="00E90A19"/>
    <w:rsid w:val="00E974F8"/>
    <w:rsid w:val="00EA79DA"/>
    <w:rsid w:val="00EC636E"/>
    <w:rsid w:val="00EC7E55"/>
    <w:rsid w:val="00ED29A1"/>
    <w:rsid w:val="00ED6F93"/>
    <w:rsid w:val="00EE2667"/>
    <w:rsid w:val="00EE6A3B"/>
    <w:rsid w:val="00EE7CB8"/>
    <w:rsid w:val="00EF16FB"/>
    <w:rsid w:val="00EF2E0C"/>
    <w:rsid w:val="00F02216"/>
    <w:rsid w:val="00F0291C"/>
    <w:rsid w:val="00F101DD"/>
    <w:rsid w:val="00F14193"/>
    <w:rsid w:val="00F14D59"/>
    <w:rsid w:val="00F20CCE"/>
    <w:rsid w:val="00F3614E"/>
    <w:rsid w:val="00F56870"/>
    <w:rsid w:val="00F576E0"/>
    <w:rsid w:val="00F6440C"/>
    <w:rsid w:val="00F75967"/>
    <w:rsid w:val="00F901CF"/>
    <w:rsid w:val="00F906EF"/>
    <w:rsid w:val="00F91FAC"/>
    <w:rsid w:val="00F959EB"/>
    <w:rsid w:val="00FB33FD"/>
    <w:rsid w:val="00FB645E"/>
    <w:rsid w:val="00FC35ED"/>
    <w:rsid w:val="00FD395D"/>
    <w:rsid w:val="00FD6CD9"/>
    <w:rsid w:val="00FE20D9"/>
    <w:rsid w:val="00FE3A8F"/>
    <w:rsid w:val="00FF6C28"/>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EADA1"/>
  <w15:chartTrackingRefBased/>
  <w15:docId w15:val="{2DA93048-7BF6-4177-9780-AFA9294F2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40"/>
      <w:jc w:val="both"/>
    </w:pPr>
    <w:rPr>
      <w:sz w:val="24"/>
      <w:szCs w:val="24"/>
      <w:lang w:bidi="ar-AE"/>
    </w:rPr>
  </w:style>
  <w:style w:type="paragraph" w:styleId="Heading1">
    <w:name w:val="heading 1"/>
    <w:basedOn w:val="Normal"/>
    <w:next w:val="Normal"/>
    <w:link w:val="Heading1Char"/>
    <w:qFormat/>
    <w:pPr>
      <w:outlineLvl w:val="0"/>
    </w:pPr>
    <w:rPr>
      <w:rFonts w:cs="Simplified Arabic"/>
    </w:rPr>
  </w:style>
  <w:style w:type="paragraph" w:styleId="Heading2">
    <w:name w:val="heading 2"/>
    <w:basedOn w:val="Normal"/>
    <w:next w:val="BodyText"/>
    <w:link w:val="Heading2Char"/>
    <w:qFormat/>
    <w:pPr>
      <w:outlineLvl w:val="1"/>
    </w:pPr>
    <w:rPr>
      <w:rFonts w:cs="Simplified Arabic"/>
    </w:rPr>
  </w:style>
  <w:style w:type="paragraph" w:styleId="Heading3">
    <w:name w:val="heading 3"/>
    <w:basedOn w:val="Heading2"/>
    <w:next w:val="BodyText"/>
    <w:link w:val="Heading3Char"/>
    <w:qFormat/>
    <w:pPr>
      <w:outlineLvl w:val="2"/>
    </w:pPr>
  </w:style>
  <w:style w:type="paragraph" w:styleId="Heading4">
    <w:name w:val="heading 4"/>
    <w:basedOn w:val="Normal"/>
    <w:next w:val="BodyText"/>
    <w:link w:val="Heading4Char"/>
    <w:qFormat/>
    <w:pPr>
      <w:outlineLvl w:val="3"/>
    </w:pPr>
    <w:rPr>
      <w:rFonts w:cs="Simplified Arabic"/>
    </w:rPr>
  </w:style>
  <w:style w:type="paragraph" w:styleId="Heading5">
    <w:name w:val="heading 5"/>
    <w:basedOn w:val="Normal"/>
    <w:next w:val="BodyText"/>
    <w:link w:val="Heading5Char"/>
    <w:qFormat/>
    <w:pPr>
      <w:outlineLvl w:val="4"/>
    </w:pPr>
    <w:rPr>
      <w:rFonts w:cs="Simplified Arabic"/>
    </w:rPr>
  </w:style>
  <w:style w:type="paragraph" w:styleId="Heading6">
    <w:name w:val="heading 6"/>
    <w:basedOn w:val="Normal"/>
    <w:next w:val="BodyText"/>
    <w:link w:val="Heading6Char"/>
    <w:qFormat/>
    <w:pPr>
      <w:outlineLvl w:val="5"/>
    </w:pPr>
    <w:rPr>
      <w:rFonts w:cs="Simplified Arabic"/>
    </w:rPr>
  </w:style>
  <w:style w:type="paragraph" w:styleId="Heading7">
    <w:name w:val="heading 7"/>
    <w:basedOn w:val="Normal"/>
    <w:next w:val="BodyText"/>
    <w:link w:val="Heading7Char"/>
    <w:qFormat/>
    <w:pPr>
      <w:outlineLvl w:val="6"/>
    </w:pPr>
    <w:rPr>
      <w:rFonts w:cs="Simplified Arabic"/>
    </w:rPr>
  </w:style>
  <w:style w:type="paragraph" w:styleId="Heading8">
    <w:name w:val="heading 8"/>
    <w:basedOn w:val="Normal"/>
    <w:next w:val="BodyText"/>
    <w:link w:val="Heading8Char"/>
    <w:qFormat/>
    <w:pPr>
      <w:outlineLvl w:val="7"/>
    </w:pPr>
    <w:rPr>
      <w:rFonts w:cs="Simplified Arabic"/>
    </w:rPr>
  </w:style>
  <w:style w:type="paragraph" w:styleId="Heading9">
    <w:name w:val="heading 9"/>
    <w:basedOn w:val="Normal"/>
    <w:next w:val="BodyText"/>
    <w:link w:val="Heading9Char"/>
    <w:qFormat/>
    <w:pPr>
      <w:outlineLvl w:val="8"/>
    </w:pPr>
    <w:rPr>
      <w:rFonts w:cs="Simplified Arabi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bidi="ar-AE"/>
    </w:rPr>
  </w:style>
  <w:style w:type="character" w:customStyle="1" w:styleId="MacroTextChar">
    <w:name w:val="Macro Text Char"/>
    <w:link w:val="MacroText"/>
    <w:rPr>
      <w:rFonts w:ascii="Courier New" w:hAnsi="Courier New" w:cs="Courier New"/>
      <w:lang w:val="en-GB" w:eastAsia="zh-CN" w:bidi="ar-AE"/>
    </w:rPr>
  </w:style>
  <w:style w:type="character" w:customStyle="1" w:styleId="Heading1Char">
    <w:name w:val="Heading 1 Char"/>
    <w:link w:val="Heading1"/>
    <w:rPr>
      <w:sz w:val="24"/>
      <w:szCs w:val="24"/>
      <w:lang w:bidi="ar-AE"/>
    </w:rPr>
  </w:style>
  <w:style w:type="character" w:customStyle="1" w:styleId="Heading2Char">
    <w:name w:val="Heading 2 Char"/>
    <w:link w:val="Heading2"/>
    <w:rPr>
      <w:sz w:val="24"/>
      <w:szCs w:val="24"/>
      <w:lang w:bidi="ar-AE"/>
    </w:rPr>
  </w:style>
  <w:style w:type="paragraph" w:styleId="BodyText">
    <w:name w:val="Body Text"/>
    <w:basedOn w:val="Normal"/>
    <w:link w:val="BodyTextChar"/>
    <w:rPr>
      <w:rFonts w:cs="Simplified Arabic"/>
      <w:lang w:eastAsia="en-GB"/>
    </w:rPr>
  </w:style>
  <w:style w:type="character" w:customStyle="1" w:styleId="BodyTextChar">
    <w:name w:val="Body Text Char"/>
    <w:link w:val="BodyText"/>
    <w:rPr>
      <w:sz w:val="24"/>
      <w:szCs w:val="24"/>
      <w:lang w:eastAsia="en-GB" w:bidi="ar-AE"/>
    </w:rPr>
  </w:style>
  <w:style w:type="character" w:customStyle="1" w:styleId="Heading3Char">
    <w:name w:val="Heading 3 Char"/>
    <w:link w:val="Heading3"/>
    <w:rPr>
      <w:sz w:val="24"/>
      <w:szCs w:val="24"/>
      <w:lang w:bidi="ar-AE"/>
    </w:rPr>
  </w:style>
  <w:style w:type="character" w:customStyle="1" w:styleId="Heading4Char">
    <w:name w:val="Heading 4 Char"/>
    <w:link w:val="Heading4"/>
    <w:rPr>
      <w:sz w:val="24"/>
      <w:szCs w:val="24"/>
      <w:lang w:bidi="ar-AE"/>
    </w:rPr>
  </w:style>
  <w:style w:type="character" w:customStyle="1" w:styleId="Heading5Char">
    <w:name w:val="Heading 5 Char"/>
    <w:link w:val="Heading5"/>
    <w:rPr>
      <w:sz w:val="24"/>
      <w:szCs w:val="24"/>
      <w:lang w:bidi="ar-AE"/>
    </w:rPr>
  </w:style>
  <w:style w:type="character" w:customStyle="1" w:styleId="Heading6Char">
    <w:name w:val="Heading 6 Char"/>
    <w:link w:val="Heading6"/>
    <w:rPr>
      <w:sz w:val="24"/>
      <w:szCs w:val="24"/>
      <w:lang w:bidi="ar-AE"/>
    </w:rPr>
  </w:style>
  <w:style w:type="character" w:customStyle="1" w:styleId="Heading7Char">
    <w:name w:val="Heading 7 Char"/>
    <w:link w:val="Heading7"/>
    <w:rPr>
      <w:sz w:val="24"/>
      <w:szCs w:val="24"/>
      <w:lang w:bidi="ar-AE"/>
    </w:rPr>
  </w:style>
  <w:style w:type="character" w:customStyle="1" w:styleId="Heading8Char">
    <w:name w:val="Heading 8 Char"/>
    <w:link w:val="Heading8"/>
    <w:rPr>
      <w:sz w:val="24"/>
      <w:szCs w:val="24"/>
      <w:lang w:bidi="ar-AE"/>
    </w:rPr>
  </w:style>
  <w:style w:type="character" w:customStyle="1" w:styleId="Heading9Char">
    <w:name w:val="Heading 9 Char"/>
    <w:link w:val="Heading9"/>
    <w:rPr>
      <w:sz w:val="24"/>
      <w:szCs w:val="24"/>
      <w:lang w:bidi="ar-AE"/>
    </w:rPr>
  </w:style>
  <w:style w:type="paragraph" w:styleId="List3">
    <w:name w:val="List 3"/>
    <w:basedOn w:val="Normal"/>
    <w:pPr>
      <w:ind w:left="1080" w:hanging="360"/>
      <w:contextualSpacing/>
    </w:pPr>
  </w:style>
  <w:style w:type="paragraph" w:styleId="TOC7">
    <w:name w:val="toc 7"/>
    <w:basedOn w:val="Normal"/>
    <w:next w:val="Normal"/>
    <w:pPr>
      <w:ind w:left="1440"/>
    </w:pPr>
  </w:style>
  <w:style w:type="paragraph" w:styleId="TableofAuthorities">
    <w:name w:val="table of authorities"/>
    <w:basedOn w:val="Normal"/>
    <w:next w:val="Normal"/>
    <w:pPr>
      <w:ind w:left="240" w:hanging="240"/>
    </w:pPr>
  </w:style>
  <w:style w:type="paragraph" w:styleId="NoteHeading">
    <w:name w:val="Note Heading"/>
    <w:basedOn w:val="Normal"/>
    <w:next w:val="Normal"/>
    <w:link w:val="NoteHeadingChar"/>
    <w:rPr>
      <w:rFonts w:cs="Simplified Arabic"/>
    </w:rPr>
  </w:style>
  <w:style w:type="character" w:customStyle="1" w:styleId="NoteHeadingChar">
    <w:name w:val="Note Heading Char"/>
    <w:link w:val="NoteHeading"/>
    <w:rPr>
      <w:sz w:val="24"/>
      <w:szCs w:val="24"/>
      <w:lang w:bidi="ar-AE"/>
    </w:rPr>
  </w:style>
  <w:style w:type="paragraph" w:styleId="Index8">
    <w:name w:val="index 8"/>
    <w:basedOn w:val="Normal"/>
    <w:next w:val="Normal"/>
    <w:pPr>
      <w:ind w:left="1920" w:hanging="240"/>
    </w:pPr>
  </w:style>
  <w:style w:type="paragraph" w:styleId="E-mailSignature">
    <w:name w:val="E-mail Signature"/>
    <w:basedOn w:val="Normal"/>
    <w:link w:val="E-mailSignatureChar"/>
    <w:rPr>
      <w:rFonts w:cs="Simplified Arabic"/>
    </w:rPr>
  </w:style>
  <w:style w:type="character" w:customStyle="1" w:styleId="E-mailSignatureChar">
    <w:name w:val="E-mail Signature Char"/>
    <w:link w:val="E-mailSignature"/>
    <w:rPr>
      <w:sz w:val="24"/>
      <w:szCs w:val="24"/>
      <w:lang w:bidi="ar-AE"/>
    </w:rPr>
  </w:style>
  <w:style w:type="paragraph" w:styleId="NormalIndent">
    <w:name w:val="Normal Indent"/>
    <w:basedOn w:val="Normal"/>
    <w:pPr>
      <w:ind w:left="720"/>
    </w:pPr>
  </w:style>
  <w:style w:type="paragraph" w:styleId="Caption">
    <w:name w:val="caption"/>
    <w:basedOn w:val="Normal"/>
    <w:next w:val="Normal"/>
    <w:qFormat/>
    <w:rPr>
      <w:b/>
      <w:bCs/>
      <w:sz w:val="20"/>
      <w:szCs w:val="20"/>
    </w:rPr>
  </w:style>
  <w:style w:type="paragraph" w:styleId="Index5">
    <w:name w:val="index 5"/>
    <w:basedOn w:val="Normal"/>
    <w:next w:val="Normal"/>
    <w:pPr>
      <w:ind w:left="1200" w:hanging="240"/>
    </w:pPr>
  </w:style>
  <w:style w:type="paragraph" w:styleId="EnvelopeAddress">
    <w:name w:val="envelope address"/>
    <w:basedOn w:val="Normal"/>
    <w:pPr>
      <w:framePr w:w="7920" w:h="1980" w:hRule="exact" w:hSpace="180" w:wrap="auto" w:hAnchor="page" w:xAlign="center" w:yAlign="bottom"/>
      <w:ind w:left="2880"/>
    </w:pPr>
    <w:rPr>
      <w:rFonts w:cs="Simplified Arabic"/>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link w:val="DocumentMap"/>
    <w:rPr>
      <w:rFonts w:ascii="Tahoma" w:hAnsi="Tahoma" w:cs="Tahoma"/>
      <w:sz w:val="16"/>
      <w:szCs w:val="16"/>
      <w:lang w:bidi="ar-AE"/>
    </w:rPr>
  </w:style>
  <w:style w:type="paragraph" w:styleId="TOAHeading">
    <w:name w:val="toa heading"/>
    <w:basedOn w:val="Normal"/>
    <w:next w:val="Normal"/>
    <w:pPr>
      <w:spacing w:before="120"/>
    </w:pPr>
    <w:rPr>
      <w:rFonts w:cs="Simplified Arabic"/>
      <w:b/>
      <w:bCs/>
    </w:rPr>
  </w:style>
  <w:style w:type="paragraph" w:styleId="CommentText">
    <w:name w:val="annotation text"/>
    <w:basedOn w:val="Normal"/>
    <w:link w:val="CommentTextChar"/>
    <w:pPr>
      <w:spacing w:after="120"/>
    </w:pPr>
    <w:rPr>
      <w:rFonts w:cs="Simplified Arabic"/>
      <w:sz w:val="20"/>
      <w:szCs w:val="20"/>
    </w:rPr>
  </w:style>
  <w:style w:type="character" w:customStyle="1" w:styleId="CommentTextChar">
    <w:name w:val="Comment Text Char"/>
    <w:link w:val="CommentText"/>
    <w:rPr>
      <w:lang w:bidi="ar-AE"/>
    </w:rPr>
  </w:style>
  <w:style w:type="paragraph" w:styleId="Index6">
    <w:name w:val="index 6"/>
    <w:basedOn w:val="Normal"/>
    <w:next w:val="Normal"/>
    <w:pPr>
      <w:ind w:left="1440" w:hanging="240"/>
    </w:pPr>
  </w:style>
  <w:style w:type="paragraph" w:styleId="Salutation">
    <w:name w:val="Salutation"/>
    <w:basedOn w:val="Normal"/>
    <w:next w:val="Normal"/>
    <w:link w:val="SalutationChar"/>
    <w:rPr>
      <w:rFonts w:cs="Simplified Arabic"/>
    </w:rPr>
  </w:style>
  <w:style w:type="character" w:customStyle="1" w:styleId="SalutationChar">
    <w:name w:val="Salutation Char"/>
    <w:link w:val="Salutation"/>
    <w:rPr>
      <w:sz w:val="24"/>
      <w:szCs w:val="24"/>
      <w:lang w:bidi="ar-AE"/>
    </w:rPr>
  </w:style>
  <w:style w:type="paragraph" w:styleId="BodyText3">
    <w:name w:val="Body Text 3"/>
    <w:basedOn w:val="Normal"/>
    <w:link w:val="BodyText3Char"/>
    <w:pPr>
      <w:ind w:left="2160"/>
    </w:pPr>
    <w:rPr>
      <w:rFonts w:cs="Simplified Arabic"/>
      <w:lang w:eastAsia="en-GB"/>
    </w:rPr>
  </w:style>
  <w:style w:type="character" w:customStyle="1" w:styleId="BodyText3Char">
    <w:name w:val="Body Text 3 Char"/>
    <w:link w:val="BodyText3"/>
    <w:rPr>
      <w:sz w:val="24"/>
      <w:szCs w:val="24"/>
      <w:lang w:eastAsia="en-GB" w:bidi="ar-AE"/>
    </w:rPr>
  </w:style>
  <w:style w:type="paragraph" w:styleId="Closing">
    <w:name w:val="Closing"/>
    <w:basedOn w:val="Normal"/>
    <w:link w:val="ClosingChar"/>
    <w:pPr>
      <w:ind w:left="4320"/>
    </w:pPr>
    <w:rPr>
      <w:rFonts w:cs="Simplified Arabic"/>
    </w:rPr>
  </w:style>
  <w:style w:type="character" w:customStyle="1" w:styleId="ClosingChar">
    <w:name w:val="Closing Char"/>
    <w:link w:val="Closing"/>
    <w:rPr>
      <w:sz w:val="24"/>
      <w:szCs w:val="24"/>
      <w:lang w:bidi="ar-AE"/>
    </w:rPr>
  </w:style>
  <w:style w:type="paragraph" w:styleId="BodyTextIndent">
    <w:name w:val="Body Text Indent"/>
    <w:basedOn w:val="Normal"/>
    <w:link w:val="BodyTextIndentChar"/>
    <w:pPr>
      <w:spacing w:after="120"/>
      <w:ind w:left="283"/>
    </w:pPr>
    <w:rPr>
      <w:rFonts w:cs="Simplified Arabic"/>
    </w:rPr>
  </w:style>
  <w:style w:type="character" w:customStyle="1" w:styleId="BodyTextIndentChar">
    <w:name w:val="Body Text Indent Char"/>
    <w:link w:val="BodyTextIndent"/>
    <w:rPr>
      <w:sz w:val="24"/>
      <w:szCs w:val="24"/>
      <w:lang w:bidi="ar-AE"/>
    </w:rPr>
  </w:style>
  <w:style w:type="paragraph" w:styleId="List2">
    <w:name w:val="List 2"/>
    <w:basedOn w:val="Normal"/>
    <w:pPr>
      <w:ind w:left="720" w:hanging="360"/>
      <w:contextualSpacing/>
    </w:pPr>
  </w:style>
  <w:style w:type="paragraph" w:styleId="ListContinue">
    <w:name w:val="List Continue"/>
    <w:basedOn w:val="Normal"/>
    <w:pPr>
      <w:spacing w:after="120"/>
      <w:ind w:left="360"/>
      <w:contextualSpacing/>
    </w:pPr>
  </w:style>
  <w:style w:type="paragraph" w:styleId="BlockText">
    <w:name w:val="Block Text"/>
    <w:basedOn w:val="Normal"/>
    <w:pPr>
      <w:spacing w:after="120"/>
      <w:ind w:left="1440" w:right="1440"/>
    </w:pPr>
  </w:style>
  <w:style w:type="paragraph" w:styleId="HTMLAddress">
    <w:name w:val="HTML Address"/>
    <w:basedOn w:val="Normal"/>
    <w:link w:val="HTMLAddressChar"/>
    <w:rPr>
      <w:rFonts w:cs="Simplified Arabic"/>
      <w:i/>
      <w:iCs/>
    </w:rPr>
  </w:style>
  <w:style w:type="character" w:customStyle="1" w:styleId="HTMLAddressChar">
    <w:name w:val="HTML Address Char"/>
    <w:link w:val="HTMLAddress"/>
    <w:rPr>
      <w:i/>
      <w:iCs/>
      <w:sz w:val="24"/>
      <w:szCs w:val="24"/>
      <w:lang w:bidi="ar-AE"/>
    </w:rPr>
  </w:style>
  <w:style w:type="paragraph" w:styleId="Index4">
    <w:name w:val="index 4"/>
    <w:basedOn w:val="Normal"/>
    <w:next w:val="Normal"/>
    <w:pPr>
      <w:ind w:left="960" w:hanging="240"/>
    </w:pPr>
  </w:style>
  <w:style w:type="paragraph" w:styleId="TOC5">
    <w:name w:val="toc 5"/>
    <w:basedOn w:val="Normal"/>
    <w:next w:val="Normal"/>
    <w:pPr>
      <w:ind w:left="960"/>
    </w:pPr>
  </w:style>
  <w:style w:type="paragraph" w:styleId="TOC3">
    <w:name w:val="toc 3"/>
    <w:basedOn w:val="Normal"/>
    <w:next w:val="Normal"/>
    <w:pPr>
      <w:ind w:left="480"/>
    </w:pPr>
  </w:style>
  <w:style w:type="paragraph" w:styleId="PlainText">
    <w:name w:val="Plain Text"/>
    <w:basedOn w:val="Normal"/>
    <w:link w:val="PlainTextChar"/>
    <w:rPr>
      <w:rFonts w:ascii="Courier New" w:hAnsi="Courier New" w:cs="Courier New"/>
      <w:sz w:val="20"/>
      <w:szCs w:val="20"/>
    </w:rPr>
  </w:style>
  <w:style w:type="character" w:customStyle="1" w:styleId="PlainTextChar">
    <w:name w:val="Plain Text Char"/>
    <w:link w:val="PlainText"/>
    <w:rPr>
      <w:rFonts w:ascii="Courier New" w:hAnsi="Courier New" w:cs="Courier New"/>
      <w:lang w:bidi="ar-AE"/>
    </w:rPr>
  </w:style>
  <w:style w:type="paragraph" w:styleId="TOC8">
    <w:name w:val="toc 8"/>
    <w:basedOn w:val="Normal"/>
    <w:next w:val="Normal"/>
    <w:pPr>
      <w:ind w:left="1680"/>
    </w:pPr>
  </w:style>
  <w:style w:type="paragraph" w:styleId="Index3">
    <w:name w:val="index 3"/>
    <w:basedOn w:val="Normal"/>
    <w:next w:val="Normal"/>
    <w:pPr>
      <w:ind w:left="720" w:hanging="240"/>
    </w:pPr>
  </w:style>
  <w:style w:type="paragraph" w:styleId="Date">
    <w:name w:val="Date"/>
    <w:basedOn w:val="Normal"/>
    <w:next w:val="Normal"/>
    <w:link w:val="DateChar"/>
    <w:rPr>
      <w:rFonts w:cs="Simplified Arabic"/>
    </w:rPr>
  </w:style>
  <w:style w:type="character" w:customStyle="1" w:styleId="DateChar">
    <w:name w:val="Date Char"/>
    <w:link w:val="Date"/>
    <w:rPr>
      <w:sz w:val="24"/>
      <w:szCs w:val="24"/>
      <w:lang w:bidi="ar-AE"/>
    </w:rPr>
  </w:style>
  <w:style w:type="paragraph" w:styleId="BodyTextIndent2">
    <w:name w:val="Body Text Indent 2"/>
    <w:basedOn w:val="Normal"/>
    <w:link w:val="BodyTextIndent2Char"/>
    <w:pPr>
      <w:spacing w:after="120"/>
      <w:ind w:left="360"/>
    </w:pPr>
    <w:rPr>
      <w:rFonts w:cs="Simplified Arabic"/>
    </w:rPr>
  </w:style>
  <w:style w:type="character" w:customStyle="1" w:styleId="BodyTextIndent2Char">
    <w:name w:val="Body Text Indent 2 Char"/>
    <w:link w:val="BodyTextIndent2"/>
    <w:rPr>
      <w:sz w:val="24"/>
      <w:szCs w:val="24"/>
      <w:lang w:bidi="ar-AE"/>
    </w:rPr>
  </w:style>
  <w:style w:type="paragraph" w:styleId="EndnoteText">
    <w:name w:val="endnote text"/>
    <w:basedOn w:val="Normal"/>
    <w:next w:val="Normal"/>
    <w:link w:val="EndnoteTextChar"/>
    <w:pPr>
      <w:spacing w:after="120"/>
      <w:ind w:left="340" w:hanging="340"/>
    </w:pPr>
    <w:rPr>
      <w:rFonts w:cs="Simplified Arabic"/>
      <w:sz w:val="20"/>
      <w:szCs w:val="20"/>
    </w:rPr>
  </w:style>
  <w:style w:type="character" w:customStyle="1" w:styleId="EndnoteTextChar">
    <w:name w:val="Endnote Text Char"/>
    <w:link w:val="EndnoteText"/>
    <w:rPr>
      <w:lang w:bidi="ar-AE"/>
    </w:rPr>
  </w:style>
  <w:style w:type="paragraph" w:styleId="ListContinue5">
    <w:name w:val="List Continue 5"/>
    <w:basedOn w:val="Normal"/>
    <w:pPr>
      <w:spacing w:after="120"/>
      <w:ind w:left="1800"/>
      <w:contextualSpacing/>
    </w:pPr>
  </w:style>
  <w:style w:type="paragraph" w:styleId="BalloonText">
    <w:name w:val="Balloon Text"/>
    <w:basedOn w:val="Normal"/>
    <w:link w:val="BalloonTextChar"/>
    <w:pPr>
      <w:spacing w:after="0"/>
    </w:pPr>
    <w:rPr>
      <w:rFonts w:ascii="Tahoma" w:hAnsi="Tahoma" w:cs="Tahoma"/>
      <w:sz w:val="16"/>
      <w:szCs w:val="16"/>
    </w:rPr>
  </w:style>
  <w:style w:type="character" w:customStyle="1" w:styleId="BalloonTextChar">
    <w:name w:val="Balloon Text Char"/>
    <w:link w:val="BalloonText"/>
    <w:rPr>
      <w:rFonts w:ascii="Tahoma" w:hAnsi="Tahoma" w:cs="Tahoma"/>
      <w:sz w:val="16"/>
      <w:szCs w:val="16"/>
      <w:lang w:bidi="ar-AE"/>
    </w:rPr>
  </w:style>
  <w:style w:type="paragraph" w:styleId="Footer">
    <w:name w:val="footer"/>
    <w:link w:val="FooterChar"/>
    <w:rPr>
      <w:sz w:val="16"/>
      <w:szCs w:val="16"/>
      <w:lang w:bidi="he-IL"/>
    </w:rPr>
  </w:style>
  <w:style w:type="character" w:customStyle="1" w:styleId="FooterChar">
    <w:name w:val="Footer Char"/>
    <w:link w:val="Footer"/>
    <w:rPr>
      <w:sz w:val="16"/>
      <w:szCs w:val="16"/>
      <w:lang w:val="en-GB" w:eastAsia="zh-CN" w:bidi="he-IL"/>
    </w:rPr>
  </w:style>
  <w:style w:type="paragraph" w:styleId="EnvelopeReturn">
    <w:name w:val="envelope return"/>
    <w:basedOn w:val="Normal"/>
    <w:rPr>
      <w:rFonts w:cs="Simplified Arabic"/>
      <w:sz w:val="20"/>
      <w:szCs w:val="20"/>
    </w:rPr>
  </w:style>
  <w:style w:type="paragraph" w:styleId="Header">
    <w:name w:val="header"/>
    <w:link w:val="HeaderChar"/>
    <w:uiPriority w:val="99"/>
    <w:pPr>
      <w:jc w:val="both"/>
    </w:pPr>
    <w:rPr>
      <w:sz w:val="24"/>
      <w:szCs w:val="24"/>
      <w:lang w:bidi="he-IL"/>
    </w:rPr>
  </w:style>
  <w:style w:type="character" w:customStyle="1" w:styleId="HeaderChar">
    <w:name w:val="Header Char"/>
    <w:link w:val="Header"/>
    <w:uiPriority w:val="99"/>
    <w:rPr>
      <w:sz w:val="24"/>
      <w:szCs w:val="24"/>
      <w:lang w:val="en-GB" w:eastAsia="zh-CN" w:bidi="he-IL"/>
    </w:rPr>
  </w:style>
  <w:style w:type="paragraph" w:styleId="Signature">
    <w:name w:val="Signature"/>
    <w:basedOn w:val="Normal"/>
    <w:link w:val="SignatureChar"/>
    <w:pPr>
      <w:ind w:left="4320"/>
    </w:pPr>
    <w:rPr>
      <w:rFonts w:cs="Simplified Arabic"/>
    </w:rPr>
  </w:style>
  <w:style w:type="character" w:customStyle="1" w:styleId="SignatureChar">
    <w:name w:val="Signature Char"/>
    <w:link w:val="Signature"/>
    <w:rPr>
      <w:sz w:val="24"/>
      <w:szCs w:val="24"/>
      <w:lang w:bidi="ar-AE"/>
    </w:rPr>
  </w:style>
  <w:style w:type="paragraph" w:styleId="TOC1">
    <w:name w:val="toc 1"/>
    <w:basedOn w:val="Normal"/>
    <w:next w:val="BodyText"/>
    <w:pPr>
      <w:tabs>
        <w:tab w:val="right" w:leader="dot" w:pos="9016"/>
      </w:tabs>
      <w:adjustRightInd w:val="0"/>
      <w:snapToGrid w:val="0"/>
      <w:spacing w:before="100" w:after="100"/>
      <w:ind w:left="510" w:hanging="510"/>
    </w:pPr>
    <w:rPr>
      <w:snapToGrid w:val="0"/>
      <w:lang w:bidi="he-IL"/>
    </w:rPr>
  </w:style>
  <w:style w:type="paragraph" w:styleId="ListContinue4">
    <w:name w:val="List Continue 4"/>
    <w:basedOn w:val="Normal"/>
    <w:pPr>
      <w:spacing w:after="120"/>
      <w:ind w:left="1440"/>
      <w:contextualSpacing/>
    </w:pPr>
  </w:style>
  <w:style w:type="paragraph" w:styleId="TOC4">
    <w:name w:val="toc 4"/>
    <w:basedOn w:val="Normal"/>
    <w:next w:val="Normal"/>
    <w:pPr>
      <w:ind w:left="720"/>
    </w:pPr>
  </w:style>
  <w:style w:type="paragraph" w:styleId="IndexHeading">
    <w:name w:val="index heading"/>
    <w:basedOn w:val="Normal"/>
    <w:next w:val="Normal"/>
    <w:rPr>
      <w:b/>
      <w:bCs/>
    </w:rPr>
  </w:style>
  <w:style w:type="paragraph" w:styleId="Subtitle">
    <w:name w:val="Subtitle"/>
    <w:basedOn w:val="Normal"/>
    <w:next w:val="BodyText"/>
    <w:link w:val="SubtitleChar"/>
    <w:qFormat/>
    <w:pPr>
      <w:jc w:val="center"/>
    </w:pPr>
    <w:rPr>
      <w:rFonts w:cs="Simplified Arabic"/>
    </w:rPr>
  </w:style>
  <w:style w:type="character" w:customStyle="1" w:styleId="SubtitleChar">
    <w:name w:val="Subtitle Char"/>
    <w:link w:val="Subtitle"/>
    <w:rPr>
      <w:sz w:val="24"/>
      <w:szCs w:val="24"/>
      <w:lang w:bidi="ar-AE"/>
    </w:rPr>
  </w:style>
  <w:style w:type="paragraph" w:styleId="List">
    <w:name w:val="List"/>
    <w:basedOn w:val="Normal"/>
    <w:pPr>
      <w:ind w:left="360" w:hanging="360"/>
      <w:contextualSpacing/>
    </w:pPr>
  </w:style>
  <w:style w:type="paragraph" w:styleId="FootnoteText">
    <w:name w:val="footnote text"/>
    <w:basedOn w:val="Normal"/>
    <w:next w:val="Normal"/>
    <w:link w:val="FootnoteTextChar"/>
    <w:pPr>
      <w:spacing w:after="120"/>
      <w:ind w:left="340" w:hanging="340"/>
    </w:pPr>
    <w:rPr>
      <w:rFonts w:cs="Simplified Arabic"/>
      <w:sz w:val="20"/>
      <w:szCs w:val="20"/>
    </w:rPr>
  </w:style>
  <w:style w:type="character" w:customStyle="1" w:styleId="FootnoteTextChar">
    <w:name w:val="Footnote Text Char"/>
    <w:link w:val="FootnoteText"/>
    <w:rPr>
      <w:lang w:bidi="ar-AE"/>
    </w:rPr>
  </w:style>
  <w:style w:type="paragraph" w:styleId="TOC6">
    <w:name w:val="toc 6"/>
    <w:basedOn w:val="Normal"/>
    <w:next w:val="Normal"/>
    <w:pPr>
      <w:ind w:left="1200"/>
    </w:pPr>
  </w:style>
  <w:style w:type="paragraph" w:styleId="List5">
    <w:name w:val="List 5"/>
    <w:basedOn w:val="Normal"/>
    <w:pPr>
      <w:ind w:left="1800" w:hanging="360"/>
      <w:contextualSpacing/>
    </w:pPr>
  </w:style>
  <w:style w:type="paragraph" w:styleId="BodyTextIndent3">
    <w:name w:val="Body Text Indent 3"/>
    <w:basedOn w:val="Normal"/>
    <w:link w:val="BodyTextIndent3Char"/>
    <w:pPr>
      <w:spacing w:after="120"/>
      <w:ind w:left="360"/>
    </w:pPr>
    <w:rPr>
      <w:rFonts w:cs="Simplified Arabic"/>
      <w:sz w:val="16"/>
      <w:szCs w:val="16"/>
    </w:rPr>
  </w:style>
  <w:style w:type="character" w:customStyle="1" w:styleId="BodyTextIndent3Char">
    <w:name w:val="Body Text Indent 3 Char"/>
    <w:link w:val="BodyTextIndent3"/>
    <w:rPr>
      <w:sz w:val="16"/>
      <w:szCs w:val="16"/>
      <w:lang w:bidi="ar-AE"/>
    </w:rPr>
  </w:style>
  <w:style w:type="paragraph" w:styleId="Index7">
    <w:name w:val="index 7"/>
    <w:basedOn w:val="Normal"/>
    <w:next w:val="Normal"/>
    <w:pPr>
      <w:ind w:left="1680" w:hanging="240"/>
    </w:pPr>
  </w:style>
  <w:style w:type="paragraph" w:styleId="Index9">
    <w:name w:val="index 9"/>
    <w:basedOn w:val="Normal"/>
    <w:next w:val="Normal"/>
    <w:pPr>
      <w:ind w:left="2160" w:hanging="240"/>
    </w:pPr>
  </w:style>
  <w:style w:type="paragraph" w:styleId="TableofFigures">
    <w:name w:val="table of figures"/>
    <w:basedOn w:val="Normal"/>
    <w:next w:val="Normal"/>
  </w:style>
  <w:style w:type="paragraph" w:styleId="TOC2">
    <w:name w:val="toc 2"/>
    <w:basedOn w:val="Normal"/>
    <w:next w:val="BodyText"/>
    <w:pPr>
      <w:tabs>
        <w:tab w:val="right" w:leader="dot" w:pos="9015"/>
      </w:tabs>
      <w:adjustRightInd w:val="0"/>
      <w:snapToGrid w:val="0"/>
      <w:spacing w:before="100" w:after="100"/>
      <w:ind w:left="1230" w:hanging="720"/>
    </w:pPr>
    <w:rPr>
      <w:snapToGrid w:val="0"/>
      <w:lang w:bidi="he-IL"/>
    </w:rPr>
  </w:style>
  <w:style w:type="paragraph" w:styleId="TOC9">
    <w:name w:val="toc 9"/>
    <w:basedOn w:val="Normal"/>
    <w:next w:val="Normal"/>
    <w:pPr>
      <w:ind w:left="1920"/>
    </w:pPr>
  </w:style>
  <w:style w:type="paragraph" w:styleId="BodyText2">
    <w:name w:val="Body Text 2"/>
    <w:basedOn w:val="Normal"/>
    <w:link w:val="BodyText2Char"/>
    <w:pPr>
      <w:ind w:left="1440"/>
    </w:pPr>
    <w:rPr>
      <w:rFonts w:cs="Simplified Arabic"/>
      <w:lang w:eastAsia="en-GB"/>
    </w:rPr>
  </w:style>
  <w:style w:type="character" w:customStyle="1" w:styleId="BodyText2Char">
    <w:name w:val="Body Text 2 Char"/>
    <w:link w:val="BodyText2"/>
    <w:rPr>
      <w:sz w:val="24"/>
      <w:szCs w:val="24"/>
      <w:lang w:eastAsia="en-GB" w:bidi="ar-AE"/>
    </w:rPr>
  </w:style>
  <w:style w:type="paragraph" w:styleId="List4">
    <w:name w:val="List 4"/>
    <w:basedOn w:val="Normal"/>
    <w:pPr>
      <w:ind w:left="1440" w:hanging="360"/>
      <w:contextualSpacing/>
    </w:pPr>
  </w:style>
  <w:style w:type="paragraph" w:styleId="ListContinue2">
    <w:name w:val="List Continue 2"/>
    <w:basedOn w:val="Normal"/>
    <w:pPr>
      <w:spacing w:after="120"/>
      <w:ind w:left="720"/>
      <w:contextualSpacing/>
    </w:p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MessageHeaderChar">
    <w:name w:val="Message Header Char"/>
    <w:link w:val="MessageHeader"/>
    <w:rPr>
      <w:rFonts w:ascii="Times New Roman" w:eastAsia="宋体" w:hAnsi="Times New Roman" w:cs="Simplified Arabic"/>
      <w:sz w:val="24"/>
      <w:szCs w:val="24"/>
      <w:shd w:val="pct20" w:color="auto" w:fill="auto"/>
      <w:lang w:bidi="ar-AE"/>
    </w:rPr>
  </w:style>
  <w:style w:type="paragraph" w:styleId="HTMLPreformatted">
    <w:name w:val="HTML Preformatted"/>
    <w:basedOn w:val="Normal"/>
    <w:link w:val="HTMLPreformattedChar"/>
    <w:rPr>
      <w:rFonts w:ascii="Courier New" w:hAnsi="Courier New" w:cs="Courier New"/>
      <w:sz w:val="20"/>
      <w:szCs w:val="20"/>
    </w:rPr>
  </w:style>
  <w:style w:type="character" w:customStyle="1" w:styleId="HTMLPreformattedChar">
    <w:name w:val="HTML Preformatted Char"/>
    <w:link w:val="HTMLPreformatted"/>
    <w:rPr>
      <w:rFonts w:ascii="Courier New" w:hAnsi="Courier New" w:cs="Courier New"/>
      <w:lang w:bidi="ar-AE"/>
    </w:rPr>
  </w:style>
  <w:style w:type="paragraph" w:styleId="NormalWeb">
    <w:name w:val="Normal (Web)"/>
    <w:basedOn w:val="Normal"/>
  </w:style>
  <w:style w:type="paragraph" w:styleId="ListContinue3">
    <w:name w:val="List Continue 3"/>
    <w:basedOn w:val="Normal"/>
    <w:pPr>
      <w:spacing w:after="120"/>
      <w:ind w:left="1080"/>
      <w:contextualSpacing/>
    </w:pPr>
  </w:style>
  <w:style w:type="paragraph" w:styleId="Index1">
    <w:name w:val="index 1"/>
    <w:basedOn w:val="Normal"/>
    <w:next w:val="Normal"/>
    <w:pPr>
      <w:ind w:left="240" w:hanging="240"/>
    </w:pPr>
  </w:style>
  <w:style w:type="paragraph" w:styleId="Index2">
    <w:name w:val="index 2"/>
    <w:basedOn w:val="Normal"/>
    <w:next w:val="Normal"/>
    <w:pPr>
      <w:ind w:left="480" w:hanging="240"/>
    </w:pPr>
  </w:style>
  <w:style w:type="paragraph" w:styleId="Title">
    <w:name w:val="Title"/>
    <w:basedOn w:val="Normal"/>
    <w:next w:val="BodyText"/>
    <w:link w:val="TitleChar"/>
    <w:qFormat/>
    <w:pPr>
      <w:jc w:val="center"/>
    </w:pPr>
    <w:rPr>
      <w:rFonts w:cs="Simplified Arabic"/>
      <w:b/>
      <w:bCs/>
    </w:rPr>
  </w:style>
  <w:style w:type="character" w:customStyle="1" w:styleId="TitleChar">
    <w:name w:val="Title Char"/>
    <w:link w:val="Title"/>
    <w:rPr>
      <w:b/>
      <w:bCs/>
      <w:sz w:val="24"/>
      <w:szCs w:val="24"/>
      <w:lang w:bidi="ar-AE"/>
    </w:rPr>
  </w:style>
  <w:style w:type="paragraph" w:styleId="CommentSubject">
    <w:name w:val="annotation subject"/>
    <w:basedOn w:val="CommentText"/>
    <w:next w:val="CommentText"/>
    <w:link w:val="CommentSubjectChar"/>
    <w:pPr>
      <w:spacing w:after="240"/>
    </w:pPr>
    <w:rPr>
      <w:b/>
      <w:bCs/>
    </w:rPr>
  </w:style>
  <w:style w:type="character" w:customStyle="1" w:styleId="CommentSubjectChar">
    <w:name w:val="Comment Subject Char"/>
    <w:link w:val="CommentSubject"/>
    <w:rPr>
      <w:b/>
      <w:bCs/>
      <w:lang w:bidi="ar-AE"/>
    </w:rPr>
  </w:style>
  <w:style w:type="paragraph" w:styleId="BodyTextFirstIndent">
    <w:name w:val="Body Text First Indent"/>
    <w:basedOn w:val="BodyText"/>
    <w:link w:val="BodyTextFirstIndentChar"/>
    <w:pPr>
      <w:ind w:firstLine="720"/>
    </w:pPr>
  </w:style>
  <w:style w:type="character" w:customStyle="1" w:styleId="BodyTextFirstIndentChar">
    <w:name w:val="Body Text First Indent Char"/>
    <w:link w:val="BodyTextFirstIndent"/>
    <w:rPr>
      <w:sz w:val="24"/>
      <w:szCs w:val="24"/>
      <w:lang w:eastAsia="en-GB" w:bidi="ar-AE"/>
    </w:rPr>
  </w:style>
  <w:style w:type="paragraph" w:styleId="BodyTextFirstIndent2">
    <w:name w:val="Body Text First Indent 2"/>
    <w:basedOn w:val="BodyTextFirstIndent"/>
    <w:link w:val="BodyTextFirstIndent2Char"/>
    <w:pPr>
      <w:ind w:firstLine="1440"/>
    </w:pPr>
  </w:style>
  <w:style w:type="character" w:customStyle="1" w:styleId="BodyTextFirstIndent2Char">
    <w:name w:val="Body Text First Indent 2 Char"/>
    <w:link w:val="BodyTextFirstIndent2"/>
    <w:rPr>
      <w:sz w:val="24"/>
      <w:szCs w:val="24"/>
      <w:lang w:eastAsia="en-GB" w:bidi="ar-AE"/>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Theme">
    <w:name w:val="Table Theme"/>
    <w:basedOn w:val="TableNormal"/>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rful2">
    <w:name w:val="Table Colorful 2"/>
    <w:basedOn w:val="TableNormal"/>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TableColorful3">
    <w:name w:val="Table Colorful 3"/>
    <w:basedOn w:val="TableNormal"/>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Elegant">
    <w:name w:val="Table Elegant"/>
    <w:basedOn w:val="TableNormal"/>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TableClassic1">
    <w:name w:val="Table Classic 1"/>
    <w:basedOn w:val="TableNormal"/>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lassic2">
    <w:name w:val="Table Classic 2"/>
    <w:basedOn w:val="TableNormal"/>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Classic3">
    <w:name w:val="Table Classic 3"/>
    <w:basedOn w:val="TableNormal"/>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TableClassic4">
    <w:name w:val="Table Classic 4"/>
    <w:basedOn w:val="TableNormal"/>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Simple1">
    <w:name w:val="Table Simple 1"/>
    <w:basedOn w:val="TableNormal"/>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TableSimple2">
    <w:name w:val="Table Simple 2"/>
    <w:basedOn w:val="TableNormal"/>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imple3">
    <w:name w:val="Table Simple 3"/>
    <w:basedOn w:val="TableNormal"/>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TableSubtle1">
    <w:name w:val="Table Subtle 1"/>
    <w:basedOn w:val="TableNormal"/>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ubtle2">
    <w:name w:val="Table Subtle 2"/>
    <w:basedOn w:val="TableNormal"/>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1">
    <w:name w:val="Table 3D effects 1"/>
    <w:basedOn w:val="TableNormal"/>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Table3Deffects2">
    <w:name w:val="Table 3D effects 2"/>
    <w:basedOn w:val="TableNormal"/>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3Deffects3">
    <w:name w:val="Table 3D effects 3"/>
    <w:basedOn w:val="TableNormal"/>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1">
    <w:name w:val="Table List 1"/>
    <w:basedOn w:val="TableNormal"/>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2">
    <w:name w:val="Table List 2"/>
    <w:basedOn w:val="TableNormal"/>
    <w:pPr>
      <w:spacing w:after="24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List3">
    <w:name w:val="Table List 3"/>
    <w:basedOn w:val="TableNormal"/>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TableList4">
    <w:name w:val="Table List 4"/>
    <w:basedOn w:val="TableNormal"/>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TableList5">
    <w:name w:val="Table List 5"/>
    <w:basedOn w:val="TableNormal"/>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TableList6">
    <w:name w:val="Table List 6"/>
    <w:basedOn w:val="TableNormal"/>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List7">
    <w:name w:val="Table List 7"/>
    <w:basedOn w:val="TableNormal"/>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TableList8">
    <w:name w:val="Table List 8"/>
    <w:basedOn w:val="TableNormal"/>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TableContemporary">
    <w:name w:val="Table Contemporary"/>
    <w:basedOn w:val="TableNormal"/>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TableColumns1">
    <w:name w:val="Table Columns 1"/>
    <w:basedOn w:val="TableNormal"/>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2">
    <w:name w:val="Table Columns 2"/>
    <w:basedOn w:val="TableNormal"/>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Columns3">
    <w:name w:val="Table Columns 3"/>
    <w:basedOn w:val="TableNormal"/>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TableColumns4">
    <w:name w:val="Table Columns 4"/>
    <w:basedOn w:val="TableNormal"/>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2">
    <w:name w:val="Table Grid 2"/>
    <w:basedOn w:val="TableNormal"/>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TableGrid3">
    <w:name w:val="Table Grid 3"/>
    <w:basedOn w:val="TableNormal"/>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4">
    <w:name w:val="Table Grid 4"/>
    <w:basedOn w:val="TableNormal"/>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Grid5">
    <w:name w:val="Table Grid 5"/>
    <w:basedOn w:val="TableNormal"/>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6">
    <w:name w:val="Table Grid 6"/>
    <w:basedOn w:val="TableNormal"/>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7">
    <w:name w:val="Table Grid 7"/>
    <w:basedOn w:val="TableNormal"/>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TableGrid8">
    <w:name w:val="Table Grid 8"/>
    <w:basedOn w:val="TableNormal"/>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TableWeb1">
    <w:name w:val="Table Web 1"/>
    <w:basedOn w:val="TableNormal"/>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2">
    <w:name w:val="Table Web 2"/>
    <w:basedOn w:val="TableNormal"/>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Web3">
    <w:name w:val="Table Web 3"/>
    <w:basedOn w:val="TableNormal"/>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TableProfessional">
    <w:name w:val="Table Professional"/>
    <w:basedOn w:val="TableNormal"/>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LightShading-Accent2">
    <w:name w:val="Light Shading Accent 2"/>
    <w:basedOn w:val="TableNormal"/>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LightShading-Accent3">
    <w:name w:val="Light Shading Accent 3"/>
    <w:basedOn w:val="TableNormal"/>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LightShading-Accent4">
    <w:name w:val="Light Shading Accent 4"/>
    <w:basedOn w:val="TableNormal"/>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LightShading-Accent5">
    <w:name w:val="Light Shading Accent 5"/>
    <w:basedOn w:val="TableNormal"/>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LightShading-Accent6">
    <w:name w:val="Light Shading Accent 6"/>
    <w:basedOn w:val="TableNormal"/>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LightList-Accent2">
    <w:name w:val="Light List Accent 2"/>
    <w:basedOn w:val="TableNormal"/>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LightList-Accent3">
    <w:name w:val="Light List Accent 3"/>
    <w:basedOn w:val="TableNormal"/>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LightList-Accent4">
    <w:name w:val="Light List Accent 4"/>
    <w:basedOn w:val="TableNormal"/>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LightList-Accent5">
    <w:name w:val="Light List Accent 5"/>
    <w:basedOn w:val="TableNormal"/>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LightList-Accent6">
    <w:name w:val="Light List Accent 6"/>
    <w:basedOn w:val="TableNormal"/>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LightGrid-Accent2">
    <w:name w:val="Light Grid Accent 2"/>
    <w:basedOn w:val="TableNormal"/>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styleId="LightGrid-Accent3">
    <w:name w:val="Light Grid Accent 3"/>
    <w:basedOn w:val="TableNormal"/>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LightGrid-Accent4">
    <w:name w:val="Light Grid Accent 4"/>
    <w:basedOn w:val="TableNormal"/>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LightGrid-Accent5">
    <w:name w:val="Light Grid Accent 5"/>
    <w:basedOn w:val="TableNormal"/>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LightGrid-Accent6">
    <w:name w:val="Light Grid Accent 6"/>
    <w:basedOn w:val="TableNormal"/>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MediumShading1-Accent2">
    <w:name w:val="Medium Shading 1 Accent 2"/>
    <w:basedOn w:val="TableNormal"/>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MediumShading1-Accent3">
    <w:name w:val="Medium Shading 1 Accent 3"/>
    <w:basedOn w:val="TableNormal"/>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MediumShading1-Accent4">
    <w:name w:val="Medium Shading 1 Accent 4"/>
    <w:basedOn w:val="TableNormal"/>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MediumShading1-Accent5">
    <w:name w:val="Medium Shading 1 Accent 5"/>
    <w:basedOn w:val="TableNormal"/>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MediumShading1-Accent6">
    <w:name w:val="Medium Shading 1 Accent 6"/>
    <w:basedOn w:val="TableNormal"/>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MediumShading2-Accent2">
    <w:name w:val="Medium Shading 2 Accent 2"/>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3">
    <w:name w:val="Medium Shading 2 Accent 3"/>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4">
    <w:name w:val="Medium Shading 2 Accent 4"/>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5">
    <w:name w:val="Medium Shading 2 Accent 5"/>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Shading2-Accent6">
    <w:name w:val="Medium Shading 2 Accent 6"/>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MediumList1-Accent2">
    <w:name w:val="Medium List 1 Accent 2"/>
    <w:basedOn w:val="TableNormal"/>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MediumList2-Accent1">
    <w:name w:val="Medium List 2 Accent 1"/>
    <w:basedOn w:val="TableNormal"/>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MediumList2-Accent2">
    <w:name w:val="Medium List 2 Accent 2"/>
    <w:basedOn w:val="TableNormal"/>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MediumList2-Accent3">
    <w:name w:val="Medium List 2 Accent 3"/>
    <w:basedOn w:val="TableNormal"/>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MediumList2-Accent4">
    <w:name w:val="Medium List 2 Accent 4"/>
    <w:basedOn w:val="TableNormal"/>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MediumList2-Accent5">
    <w:name w:val="Medium List 2 Accent 5"/>
    <w:basedOn w:val="TableNormal"/>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MediumList2-Accent6">
    <w:name w:val="Medium List 2 Accent 6"/>
    <w:basedOn w:val="TableNormal"/>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styleId="MediumGrid1-Accent1">
    <w:name w:val="Medium Grid 1 Accent 1"/>
    <w:basedOn w:val="TableNormal"/>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Accent1">
    <w:name w:val="Medium Grid 2 Accent 1"/>
    <w:basedOn w:val="TableNormal"/>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4F81BD"/>
          <w:insideV w:val="single" w:sz="6" w:space="0" w:color="4F81BD"/>
          <w:tl2br w:val="nil"/>
          <w:tr2bl w:val="nil"/>
        </w:tcBorders>
        <w:shd w:val="clear" w:color="auto" w:fill="A7BFDE"/>
      </w:tcPr>
    </w:tblStylePr>
    <w:tblStylePr w:type="nwCell">
      <w:tblPr/>
      <w:tcPr>
        <w:shd w:val="clear" w:color="auto" w:fill="FFFFFF"/>
      </w:tcPr>
    </w:tblStylePr>
  </w:style>
  <w:style w:type="table" w:styleId="MediumGrid2-Accent2">
    <w:name w:val="Medium Grid 2 Accent 2"/>
    <w:basedOn w:val="TableNormal"/>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C0504D"/>
          <w:insideV w:val="single" w:sz="6" w:space="0" w:color="C0504D"/>
          <w:tl2br w:val="nil"/>
          <w:tr2bl w:val="nil"/>
        </w:tcBorders>
        <w:shd w:val="clear" w:color="auto" w:fill="DFA7A6"/>
      </w:tcPr>
    </w:tblStylePr>
    <w:tblStylePr w:type="nwCell">
      <w:tblPr/>
      <w:tcPr>
        <w:shd w:val="clear" w:color="auto" w:fill="FFFFFF"/>
      </w:tcPr>
    </w:tblStylePr>
  </w:style>
  <w:style w:type="table" w:styleId="MediumGrid2-Accent3">
    <w:name w:val="Medium Grid 2 Accent 3"/>
    <w:basedOn w:val="TableNormal"/>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9BBB59"/>
          <w:insideV w:val="single" w:sz="6" w:space="0" w:color="9BBB59"/>
          <w:tl2br w:val="nil"/>
          <w:tr2bl w:val="nil"/>
        </w:tcBorders>
        <w:shd w:val="clear" w:color="auto" w:fill="CDDDAC"/>
      </w:tcPr>
    </w:tblStylePr>
    <w:tblStylePr w:type="nwCell">
      <w:tblPr/>
      <w:tcPr>
        <w:shd w:val="clear" w:color="auto" w:fill="FFFFFF"/>
      </w:tcPr>
    </w:tblStylePr>
  </w:style>
  <w:style w:type="table" w:styleId="MediumGrid2-Accent4">
    <w:name w:val="Medium Grid 2 Accent 4"/>
    <w:basedOn w:val="TableNormal"/>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8064A2"/>
          <w:insideV w:val="single" w:sz="6" w:space="0" w:color="8064A2"/>
          <w:tl2br w:val="nil"/>
          <w:tr2bl w:val="nil"/>
        </w:tcBorders>
        <w:shd w:val="clear" w:color="auto" w:fill="BFB1D0"/>
      </w:tcPr>
    </w:tblStylePr>
    <w:tblStylePr w:type="nwCell">
      <w:tblPr/>
      <w:tcPr>
        <w:shd w:val="clear" w:color="auto" w:fill="FFFFFF"/>
      </w:tcPr>
    </w:tblStylePr>
  </w:style>
  <w:style w:type="table" w:styleId="MediumGrid2-Accent5">
    <w:name w:val="Medium Grid 2 Accent 5"/>
    <w:basedOn w:val="TableNormal"/>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4BACC6"/>
          <w:insideV w:val="single" w:sz="6" w:space="0" w:color="4BACC6"/>
          <w:tl2br w:val="nil"/>
          <w:tr2bl w:val="nil"/>
        </w:tcBorders>
        <w:shd w:val="clear" w:color="auto" w:fill="A5D5E2"/>
      </w:tcPr>
    </w:tblStylePr>
    <w:tblStylePr w:type="nwCell">
      <w:tblPr/>
      <w:tcPr>
        <w:shd w:val="clear" w:color="auto" w:fill="FFFFFF"/>
      </w:tcPr>
    </w:tblStylePr>
  </w:style>
  <w:style w:type="table" w:styleId="MediumGrid2-Accent6">
    <w:name w:val="Medium Grid 2 Accent 6"/>
    <w:basedOn w:val="TableNormal"/>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F79646"/>
          <w:insideV w:val="single" w:sz="6" w:space="0" w:color="F79646"/>
          <w:tl2br w:val="nil"/>
          <w:tr2bl w:val="nil"/>
        </w:tcBorders>
        <w:shd w:val="clear" w:color="auto" w:fill="FBCAA2"/>
      </w:tcPr>
    </w:tblStylePr>
    <w:tblStylePr w:type="nwCell">
      <w:tblPr/>
      <w:tcPr>
        <w:shd w:val="clear" w:color="auto" w:fill="FFFFFF"/>
      </w:tcPr>
    </w:tblStylePr>
  </w:style>
  <w:style w:type="table" w:styleId="MediumGrid3-Accent1">
    <w:name w:val="Medium Grid 3 Accent 1"/>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MediumGrid3-Accent2">
    <w:name w:val="Medium Grid 3 Accent 2"/>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DFA7A6"/>
      </w:tcPr>
    </w:tblStylePr>
  </w:style>
  <w:style w:type="table" w:styleId="MediumGrid3-Accent3">
    <w:name w:val="Medium Grid 3 Accent 3"/>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DDDAC"/>
      </w:tcPr>
    </w:tblStylePr>
  </w:style>
  <w:style w:type="table" w:styleId="MediumGrid3-Accent4">
    <w:name w:val="Medium Grid 3 Accent 4"/>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BFB1D0"/>
      </w:tcPr>
    </w:tblStylePr>
  </w:style>
  <w:style w:type="table" w:styleId="MediumGrid3-Accent5">
    <w:name w:val="Medium Grid 3 Accent 5"/>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MediumGrid3-Accent6">
    <w:name w:val="Medium Grid 3 Accent 6"/>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BCAA2"/>
      </w:tcPr>
    </w:tblStylePr>
  </w:style>
  <w:style w:type="table" w:styleId="DarkList-Accent1">
    <w:name w:val="Dark List Accent 1"/>
    <w:basedOn w:val="TableNormal"/>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DarkList-Accent2">
    <w:name w:val="Dark List Accent 2"/>
    <w:basedOn w:val="TableNormal"/>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DarkList-Accent3">
    <w:name w:val="Dark List Accent 3"/>
    <w:basedOn w:val="TableNormal"/>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DarkList-Accent4">
    <w:name w:val="Dark List Accent 4"/>
    <w:basedOn w:val="TableNormal"/>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DarkList-Accent5">
    <w:name w:val="Dark List Accent 5"/>
    <w:basedOn w:val="TableNormal"/>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DarkList-Accent6">
    <w:name w:val="Dark List Accent 6"/>
    <w:basedOn w:val="TableNormal"/>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ColorfulShading-Accent1">
    <w:name w:val="Colorful Shading Accent 1"/>
    <w:basedOn w:val="TableNormal"/>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772C2A"/>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5E753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4C3B62"/>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276A7C"/>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B65608"/>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Accent1">
    <w:name w:val="Colorful List Accent 1"/>
    <w:basedOn w:val="TableNormal"/>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ColorfulList-Accent2">
    <w:name w:val="Colorful List Accent 2"/>
    <w:basedOn w:val="TableNormal"/>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ColorfulList-Accent3">
    <w:name w:val="Colorful List Accent 3"/>
    <w:basedOn w:val="TableNormal"/>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ColorfulList-Accent4">
    <w:name w:val="Colorful List Accent 4"/>
    <w:basedOn w:val="TableNormal"/>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ColorfulList-Accent5">
    <w:name w:val="Colorful List Accent 5"/>
    <w:basedOn w:val="TableNormal"/>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ColorfulList-Accent6">
    <w:name w:val="Colorful List Accent 6"/>
    <w:basedOn w:val="TableNormal"/>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ColorfulGrid-Accent1">
    <w:name w:val="Colorful Grid Accent 1"/>
    <w:basedOn w:val="TableNormal"/>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Strong">
    <w:name w:val="Strong"/>
    <w:qFormat/>
    <w:rPr>
      <w:b/>
      <w:bCs/>
    </w:rPr>
  </w:style>
  <w:style w:type="character" w:styleId="EndnoteReference">
    <w:name w:val="endnote reference"/>
    <w:rPr>
      <w:rFonts w:ascii="Times New Roman" w:eastAsia="宋体" w:hAnsi="Times New Roman" w:cs="Simplified Arabic"/>
      <w:sz w:val="18"/>
      <w:szCs w:val="18"/>
      <w:vertAlign w:val="superscript"/>
      <w:lang w:val="en-GB" w:bidi="ar-AE"/>
    </w:rPr>
  </w:style>
  <w:style w:type="character" w:styleId="PageNumber">
    <w:name w:val="page number"/>
    <w:rPr>
      <w:rFonts w:ascii="Times New Roman" w:eastAsia="宋体" w:hAnsi="Times New Roman" w:cs="Simplified Arabic"/>
      <w:sz w:val="24"/>
      <w:szCs w:val="24"/>
      <w:lang w:val="en-GB" w:bidi="ar-AE"/>
    </w:rPr>
  </w:style>
  <w:style w:type="character" w:styleId="FollowedHyperlink">
    <w:name w:val="FollowedHyperlink"/>
    <w:rPr>
      <w:color w:val="800080"/>
      <w:u w:val="single"/>
    </w:rPr>
  </w:style>
  <w:style w:type="character" w:styleId="Emphasis">
    <w:name w:val="Emphasis"/>
    <w:qFormat/>
    <w:rPr>
      <w:i/>
      <w:iCs/>
    </w:rPr>
  </w:style>
  <w:style w:type="character" w:styleId="Hyperlink">
    <w:name w:val="Hyperlink"/>
    <w:uiPriority w:val="99"/>
    <w:rPr>
      <w:color w:val="0000FF"/>
      <w:u w:val="single"/>
    </w:rPr>
  </w:style>
  <w:style w:type="character" w:styleId="CommentReference">
    <w:name w:val="annotation reference"/>
    <w:rPr>
      <w:rFonts w:ascii="Times New Roman" w:eastAsia="宋体" w:hAnsi="Times New Roman" w:cs="Simplified Arabic"/>
      <w:sz w:val="18"/>
      <w:szCs w:val="18"/>
      <w:lang w:val="en-GB" w:bidi="ar-AE"/>
    </w:rPr>
  </w:style>
  <w:style w:type="character" w:styleId="FootnoteReference">
    <w:name w:val="footnote reference"/>
    <w:rPr>
      <w:rFonts w:ascii="Times New Roman" w:eastAsia="宋体" w:hAnsi="Times New Roman" w:cs="Simplified Arabic"/>
      <w:sz w:val="18"/>
      <w:szCs w:val="18"/>
      <w:vertAlign w:val="superscript"/>
      <w:lang w:bidi="ar-AE"/>
    </w:rPr>
  </w:style>
  <w:style w:type="paragraph" w:customStyle="1" w:styleId="BodyText1">
    <w:name w:val="Body Text 1"/>
    <w:basedOn w:val="Normal"/>
    <w:pPr>
      <w:ind w:left="720"/>
    </w:pPr>
    <w:rPr>
      <w:lang w:eastAsia="en-GB"/>
    </w:rPr>
  </w:style>
  <w:style w:type="paragraph" w:customStyle="1" w:styleId="BodyText4">
    <w:name w:val="Body Text 4"/>
    <w:basedOn w:val="Normal"/>
    <w:pPr>
      <w:ind w:left="2880"/>
    </w:pPr>
    <w:rPr>
      <w:lang w:eastAsia="en-GB"/>
    </w:rPr>
  </w:style>
  <w:style w:type="paragraph" w:customStyle="1" w:styleId="BodyText5">
    <w:name w:val="Body Text 5"/>
    <w:basedOn w:val="Normal"/>
    <w:pPr>
      <w:ind w:left="3600"/>
    </w:pPr>
    <w:rPr>
      <w:lang w:eastAsia="en-GB"/>
    </w:rPr>
  </w:style>
  <w:style w:type="paragraph" w:customStyle="1" w:styleId="BodyText6">
    <w:name w:val="Body Text 6"/>
    <w:basedOn w:val="Normal"/>
    <w:pPr>
      <w:ind w:left="4320"/>
    </w:pPr>
    <w:rPr>
      <w:lang w:eastAsia="en-GB"/>
    </w:rPr>
  </w:style>
  <w:style w:type="paragraph" w:customStyle="1" w:styleId="BodyText7">
    <w:name w:val="Body Text 7"/>
    <w:basedOn w:val="Normal"/>
    <w:pPr>
      <w:ind w:left="5041"/>
    </w:pPr>
    <w:rPr>
      <w:lang w:eastAsia="en-GB"/>
    </w:rPr>
  </w:style>
  <w:style w:type="paragraph" w:customStyle="1" w:styleId="FooterRight">
    <w:name w:val="Footer Right"/>
    <w:basedOn w:val="Footer"/>
    <w:pPr>
      <w:jc w:val="right"/>
    </w:pPr>
  </w:style>
  <w:style w:type="paragraph" w:customStyle="1" w:styleId="Footnote">
    <w:name w:val="Footnote"/>
    <w:basedOn w:val="FootnoteText"/>
    <w:pPr>
      <w:tabs>
        <w:tab w:val="left" w:pos="340"/>
      </w:tabs>
    </w:pPr>
  </w:style>
  <w:style w:type="paragraph" w:styleId="ListParagraph">
    <w:name w:val="List Paragraph"/>
    <w:basedOn w:val="Normal"/>
    <w:uiPriority w:val="34"/>
    <w:qFormat/>
    <w:pPr>
      <w:ind w:left="720"/>
      <w:contextualSpacing/>
    </w:pPr>
  </w:style>
  <w:style w:type="paragraph" w:styleId="NoSpacing">
    <w:name w:val="No Spacing"/>
    <w:basedOn w:val="Normal"/>
    <w:qFormat/>
    <w:pPr>
      <w:spacing w:after="0"/>
    </w:pPr>
  </w:style>
  <w:style w:type="paragraph" w:customStyle="1" w:styleId="NormalBold">
    <w:name w:val="NormalBold"/>
    <w:basedOn w:val="Normal"/>
    <w:next w:val="Normal"/>
    <w:rPr>
      <w:b/>
      <w:bCs/>
    </w:rPr>
  </w:style>
  <w:style w:type="paragraph" w:customStyle="1" w:styleId="NormalBoldNS">
    <w:name w:val="NormalBoldNS"/>
    <w:basedOn w:val="Normal"/>
    <w:next w:val="Normal"/>
    <w:pPr>
      <w:spacing w:after="0"/>
      <w:jc w:val="left"/>
    </w:pPr>
    <w:rPr>
      <w:b/>
      <w:bCs/>
    </w:rPr>
  </w:style>
  <w:style w:type="paragraph" w:customStyle="1" w:styleId="NormalNS">
    <w:name w:val="NormalNS"/>
    <w:basedOn w:val="Normal"/>
    <w:pPr>
      <w:spacing w:after="0"/>
    </w:pPr>
  </w:style>
  <w:style w:type="paragraph" w:customStyle="1" w:styleId="NormalRight">
    <w:name w:val="NormalRight"/>
    <w:basedOn w:val="NormalNS"/>
    <w:pPr>
      <w:jc w:val="right"/>
    </w:pPr>
  </w:style>
  <w:style w:type="paragraph" w:customStyle="1" w:styleId="NoteContinuation">
    <w:name w:val="Note Continuation"/>
    <w:basedOn w:val="Normal"/>
    <w:pPr>
      <w:spacing w:after="120"/>
      <w:ind w:left="340"/>
    </w:pPr>
    <w:rPr>
      <w:sz w:val="20"/>
      <w:szCs w:val="20"/>
    </w:rPr>
  </w:style>
  <w:style w:type="paragraph" w:styleId="TOCHeading">
    <w:name w:val="TOC Heading"/>
    <w:basedOn w:val="Normal"/>
    <w:next w:val="Normal"/>
    <w:qFormat/>
    <w:pPr>
      <w:jc w:val="center"/>
    </w:pPr>
    <w:rPr>
      <w:b/>
      <w:bCs/>
      <w:caps/>
    </w:rPr>
  </w:style>
  <w:style w:type="paragraph" w:customStyle="1" w:styleId="BGHStandard">
    <w:name w:val="BGH Standard"/>
    <w:basedOn w:val="Normal"/>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Subtitle"/>
    <w:pPr>
      <w:spacing w:after="0"/>
    </w:pPr>
  </w:style>
  <w:style w:type="paragraph" w:customStyle="1" w:styleId="OptionLabel">
    <w:name w:val="OptionLabel"/>
    <w:rPr>
      <w:b/>
      <w:bCs/>
      <w:sz w:val="24"/>
      <w:szCs w:val="24"/>
      <w:lang w:bidi="ar-AE"/>
    </w:rPr>
  </w:style>
  <w:style w:type="paragraph" w:customStyle="1" w:styleId="NormalLeft0">
    <w:name w:val="NormalLeft"/>
    <w:basedOn w:val="Normal"/>
    <w:next w:val="Normal"/>
    <w:pPr>
      <w:jc w:val="left"/>
    </w:pPr>
  </w:style>
  <w:style w:type="paragraph" w:styleId="Bibliography">
    <w:name w:val="Bibliography"/>
    <w:basedOn w:val="Normal"/>
    <w:next w:val="Normal"/>
  </w:style>
  <w:style w:type="table" w:customStyle="1" w:styleId="ColorfulGrid1">
    <w:name w:val="Colorful Grid1"/>
    <w:basedOn w:val="TableNormal"/>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TableNormal"/>
    <w:rPr>
      <w:color w:val="000000"/>
    </w:rPr>
    <w:tblPr>
      <w:tblStyleRowBandSize w:val="1"/>
      <w:tblStyleColBandSize w:val="1"/>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TableNormal"/>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000000"/>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TableNormal"/>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IntenseQuote">
    <w:name w:val="Intense Quote"/>
    <w:basedOn w:val="Normal"/>
    <w:next w:val="Normal"/>
    <w:link w:val="IntenseQuoteChar"/>
    <w:qFormat/>
    <w:pPr>
      <w:pBdr>
        <w:bottom w:val="single" w:sz="4" w:space="4" w:color="4F81BD"/>
      </w:pBdr>
      <w:spacing w:before="200" w:after="280"/>
      <w:ind w:left="936" w:right="936"/>
    </w:pPr>
    <w:rPr>
      <w:rFonts w:cs="Simplified Arabic"/>
      <w:b/>
      <w:bCs/>
      <w:i/>
      <w:iCs/>
      <w:color w:val="4F81BD"/>
    </w:rPr>
  </w:style>
  <w:style w:type="character" w:customStyle="1" w:styleId="IntenseQuoteChar">
    <w:name w:val="Intense Quote Char"/>
    <w:link w:val="IntenseQuote"/>
    <w:rPr>
      <w:b/>
      <w:bCs/>
      <w:i/>
      <w:iCs/>
      <w:color w:val="4F81BD"/>
      <w:sz w:val="24"/>
      <w:szCs w:val="24"/>
      <w:lang w:bidi="ar-AE"/>
    </w:rPr>
  </w:style>
  <w:style w:type="table" w:customStyle="1" w:styleId="LightGrid1">
    <w:name w:val="Light Grid1"/>
    <w:basedOn w:val="TableNormal"/>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LightGrid-Accent11">
    <w:name w:val="Light Grid - Accent 11"/>
    <w:basedOn w:val="TableNormal"/>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LightList1">
    <w:name w:val="Light List1"/>
    <w:basedOn w:val="TableNormal"/>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TableNormal"/>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TableNormal"/>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TableNormal"/>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TableNormal"/>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TableNormal"/>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000000"/>
          <w:insideV w:val="single" w:sz="6" w:space="0" w:color="000000"/>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TableNormal"/>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MediumList11">
    <w:name w:val="Medium List 11"/>
    <w:basedOn w:val="TableNormal"/>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TableNormal"/>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TableNormal"/>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TableNormal"/>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TableNormal"/>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Quote">
    <w:name w:val="Quote"/>
    <w:basedOn w:val="Normal"/>
    <w:next w:val="Normal"/>
    <w:link w:val="QuoteChar"/>
    <w:qFormat/>
    <w:rPr>
      <w:rFonts w:cs="Simplified Arabic"/>
      <w:i/>
      <w:iCs/>
      <w:color w:val="000000"/>
    </w:rPr>
  </w:style>
  <w:style w:type="character" w:customStyle="1" w:styleId="QuoteChar">
    <w:name w:val="Quote Char"/>
    <w:link w:val="Quote"/>
    <w:rPr>
      <w:i/>
      <w:iCs/>
      <w:color w:val="000000"/>
      <w:sz w:val="24"/>
      <w:szCs w:val="24"/>
      <w:lang w:bidi="ar-AE"/>
    </w:rPr>
  </w:style>
  <w:style w:type="paragraph" w:customStyle="1" w:styleId="StandardL9">
    <w:name w:val="Standard L9"/>
    <w:basedOn w:val="Normal"/>
    <w:next w:val="BodyText3"/>
    <w:link w:val="StandardL9Char"/>
    <w:pPr>
      <w:numPr>
        <w:ilvl w:val="8"/>
        <w:numId w:val="1"/>
      </w:numPr>
      <w:tabs>
        <w:tab w:val="left" w:pos="2160"/>
      </w:tabs>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Normal"/>
    <w:next w:val="BodyText2"/>
    <w:link w:val="StandardL8Char"/>
    <w:pPr>
      <w:numPr>
        <w:ilvl w:val="7"/>
        <w:numId w:val="1"/>
      </w:numPr>
      <w:tabs>
        <w:tab w:val="left" w:pos="1440"/>
      </w:tabs>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Normal"/>
    <w:next w:val="BodyText6"/>
    <w:link w:val="StandardL7Char"/>
    <w:pPr>
      <w:numPr>
        <w:ilvl w:val="6"/>
        <w:numId w:val="1"/>
      </w:numPr>
      <w:tabs>
        <w:tab w:val="left" w:pos="4320"/>
      </w:tabs>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Normal"/>
    <w:next w:val="BodyText5"/>
    <w:link w:val="StandardL6Char"/>
    <w:pPr>
      <w:numPr>
        <w:ilvl w:val="5"/>
        <w:numId w:val="1"/>
      </w:numPr>
      <w:tabs>
        <w:tab w:val="left" w:pos="3600"/>
      </w:tabs>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Normal"/>
    <w:next w:val="BodyText4"/>
    <w:link w:val="StandardL5Char"/>
    <w:pPr>
      <w:numPr>
        <w:ilvl w:val="4"/>
        <w:numId w:val="1"/>
      </w:numPr>
      <w:tabs>
        <w:tab w:val="left" w:pos="2880"/>
      </w:tabs>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Normal"/>
    <w:link w:val="BulletL9Char"/>
    <w:pPr>
      <w:numPr>
        <w:ilvl w:val="8"/>
        <w:numId w:val="2"/>
      </w:numPr>
      <w:tabs>
        <w:tab w:val="left" w:pos="0"/>
      </w:tabs>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Normal"/>
    <w:link w:val="BulletL8Char"/>
    <w:pPr>
      <w:numPr>
        <w:ilvl w:val="7"/>
        <w:numId w:val="2"/>
      </w:numPr>
      <w:tabs>
        <w:tab w:val="left" w:pos="0"/>
      </w:tabs>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Normal"/>
    <w:link w:val="BulletL7Char"/>
    <w:pPr>
      <w:numPr>
        <w:ilvl w:val="6"/>
        <w:numId w:val="2"/>
      </w:numPr>
      <w:tabs>
        <w:tab w:val="left" w:pos="5040"/>
      </w:tabs>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Normal"/>
    <w:link w:val="BulletL6Char"/>
    <w:pPr>
      <w:numPr>
        <w:ilvl w:val="5"/>
        <w:numId w:val="2"/>
      </w:numPr>
      <w:tabs>
        <w:tab w:val="left" w:pos="4320"/>
      </w:tabs>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Normal"/>
    <w:link w:val="BulletL5Char"/>
    <w:pPr>
      <w:numPr>
        <w:ilvl w:val="4"/>
        <w:numId w:val="2"/>
      </w:numPr>
      <w:tabs>
        <w:tab w:val="left" w:pos="3600"/>
      </w:tabs>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Normal"/>
    <w:link w:val="BulletL4Char"/>
    <w:pPr>
      <w:numPr>
        <w:ilvl w:val="3"/>
        <w:numId w:val="2"/>
      </w:numPr>
      <w:tabs>
        <w:tab w:val="left" w:pos="2880"/>
      </w:tabs>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Normal"/>
    <w:link w:val="BulletL3Char"/>
    <w:pPr>
      <w:numPr>
        <w:ilvl w:val="2"/>
        <w:numId w:val="2"/>
      </w:numPr>
      <w:tabs>
        <w:tab w:val="left" w:pos="2160"/>
      </w:tabs>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Normal"/>
    <w:link w:val="BulletL2Char"/>
    <w:pPr>
      <w:numPr>
        <w:ilvl w:val="1"/>
        <w:numId w:val="2"/>
      </w:numPr>
      <w:tabs>
        <w:tab w:val="left" w:pos="1440"/>
      </w:tabs>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Normal"/>
    <w:link w:val="BulletL1Char"/>
    <w:pPr>
      <w:numPr>
        <w:numId w:val="2"/>
      </w:numPr>
      <w:tabs>
        <w:tab w:val="left" w:pos="720"/>
      </w:tabs>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Normal"/>
    <w:next w:val="BodyText3"/>
    <w:link w:val="StandardL4Char"/>
    <w:pPr>
      <w:numPr>
        <w:ilvl w:val="3"/>
        <w:numId w:val="1"/>
      </w:numPr>
      <w:tabs>
        <w:tab w:val="left" w:pos="2160"/>
      </w:tabs>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Normal"/>
    <w:next w:val="BodyText2"/>
    <w:link w:val="StandardL3Char"/>
    <w:pPr>
      <w:numPr>
        <w:ilvl w:val="2"/>
        <w:numId w:val="1"/>
      </w:numPr>
      <w:tabs>
        <w:tab w:val="left" w:pos="1440"/>
      </w:tabs>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Normal"/>
    <w:next w:val="BodyText1"/>
    <w:link w:val="StandardL2Char"/>
    <w:pPr>
      <w:numPr>
        <w:ilvl w:val="1"/>
        <w:numId w:val="1"/>
      </w:numPr>
      <w:tabs>
        <w:tab w:val="left" w:pos="720"/>
      </w:tabs>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Normal"/>
    <w:next w:val="BodyText1"/>
    <w:link w:val="StandardL1Char"/>
    <w:pPr>
      <w:keepNext/>
      <w:numPr>
        <w:numId w:val="1"/>
      </w:numPr>
      <w:tabs>
        <w:tab w:val="left" w:pos="720"/>
      </w:tabs>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eastAsia="en-US"/>
    </w:rPr>
  </w:style>
  <w:style w:type="paragraph" w:customStyle="1" w:styleId="NormalLeft">
    <w:name w:val="Normal + Left"/>
    <w:basedOn w:val="Bullet1"/>
    <w:pPr>
      <w:numPr>
        <w:numId w:val="3"/>
      </w:numPr>
      <w:spacing w:before="0"/>
    </w:pPr>
    <w:rPr>
      <w:rFonts w:eastAsia="仿宋_GB2312"/>
      <w:bCs/>
      <w:sz w:val="21"/>
      <w:szCs w:val="21"/>
    </w:rPr>
  </w:style>
  <w:style w:type="paragraph" w:styleId="Revision">
    <w:name w:val="Revision"/>
    <w:hidden/>
    <w:uiPriority w:val="99"/>
    <w:unhideWhenUsed/>
    <w:rsid w:val="00E5496D"/>
    <w:rPr>
      <w:sz w:val="24"/>
      <w:szCs w:val="24"/>
      <w:lang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288"/>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45E368-DA34-4515-87B8-E5806121AA2F}">
  <we:reference id="6CEC9104-4737-421B-A03D-239E5C3D9697" version="1.0.3.0" store="EXCatalog" storeType="EXCatalog"/>
  <we:alternateReferences>
    <we:reference id="WA200007740" version="1.0.3.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blank</Template>
  <TotalTime>1</TotalTime>
  <Pages>1</Pages>
  <Words>445</Words>
  <Characters>454</Characters>
  <Application>Microsoft Office Word</Application>
  <DocSecurity>0</DocSecurity>
  <Lines>30</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KWM</dc:creator>
  <cp:keywords/>
  <cp:lastModifiedBy>Sun, Kunming</cp:lastModifiedBy>
  <cp:revision>6</cp:revision>
  <cp:lastPrinted>2022-03-20T13:18:00Z</cp:lastPrinted>
  <dcterms:created xsi:type="dcterms:W3CDTF">2026-09-15T12:41:00Z</dcterms:created>
  <dcterms:modified xsi:type="dcterms:W3CDTF">2026-09-15T12:42:00Z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y fmtid="{D5CDD505-2E9C-101B-9397-08002B2CF9AE}" pid="3" name="CCDocID">
    <vt:lpwstr>30072390820-v1</vt:lpwstr>
  </property>
  <property fmtid="{D5CDD505-2E9C-101B-9397-08002B2CF9AE}" pid="4" name="CCMatter">
    <vt:lpwstr>02-41059287</vt:lpwstr>
  </property>
  <property fmtid="{D5CDD505-2E9C-101B-9397-08002B2CF9AE}" pid="5" name="DOCXDOCID">
    <vt:lpwstr>经营者集中简易案件公示表-清洁版 - 15/09/2026 20:42:01</vt:lpwstr>
  </property>
</Properties>
</file>