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59D93">
      <w:pPr>
        <w:widowControl/>
        <w:spacing w:after="24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bidi="ar"/>
        </w:rPr>
        <w:t>经营者集中简易案件公示表</w:t>
      </w:r>
    </w:p>
    <w:tbl>
      <w:tblPr>
        <w:tblStyle w:val="2"/>
        <w:tblW w:w="907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9"/>
        <w:gridCol w:w="1917"/>
        <w:gridCol w:w="5386"/>
      </w:tblGrid>
      <w:tr w14:paraId="69770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1769" w:type="dxa"/>
            <w:shd w:val="clear" w:color="auto" w:fill="D9D9D9"/>
            <w:vAlign w:val="center"/>
          </w:tcPr>
          <w:p w14:paraId="4EB246DD">
            <w:pPr>
              <w:widowControl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lang w:eastAsia="en-GB" w:bidi="ar-AE"/>
              </w:rPr>
            </w:pP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303" w:type="dxa"/>
            <w:gridSpan w:val="2"/>
            <w:shd w:val="clear" w:color="auto" w:fill="auto"/>
            <w:vAlign w:val="center"/>
          </w:tcPr>
          <w:p w14:paraId="006AAB99">
            <w:pPr>
              <w:widowControl/>
              <w:rPr>
                <w:rFonts w:ascii="宋体" w:hAnsi="宋体" w:eastAsia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Arial"/>
                <w:color w:val="000000"/>
                <w:kern w:val="0"/>
                <w:sz w:val="24"/>
                <w:szCs w:val="24"/>
                <w:lang w:bidi="ar-AE"/>
              </w:rPr>
              <w:t>威立雅中国控股有限公司与科学城（广州）环保产业投资集团有限公司新设合营企业案</w:t>
            </w:r>
          </w:p>
        </w:tc>
      </w:tr>
      <w:tr w14:paraId="59B0F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769" w:type="dxa"/>
            <w:shd w:val="clear" w:color="auto" w:fill="D9D9D9"/>
            <w:vAlign w:val="center"/>
          </w:tcPr>
          <w:p w14:paraId="7C1B846E">
            <w:pPr>
              <w:widowControl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303" w:type="dxa"/>
            <w:gridSpan w:val="2"/>
            <w:shd w:val="clear" w:color="auto" w:fill="auto"/>
          </w:tcPr>
          <w:p w14:paraId="46BE4F8C">
            <w:pPr>
              <w:widowControl/>
              <w:ind w:firstLine="480" w:firstLineChars="200"/>
              <w:rPr>
                <w:rFonts w:ascii="宋体" w:hAnsi="宋体" w:eastAsia="宋体" w:cs="Arial"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Arial"/>
                <w:color w:val="000000"/>
                <w:kern w:val="0"/>
                <w:sz w:val="24"/>
                <w:szCs w:val="24"/>
                <w:lang w:bidi="ar-AE"/>
              </w:rPr>
              <w:t>威立雅中国控股有限公司（“威立雅中国”）与科学城（广州）环保产业投资集团有限公司（“科学城环保”）签署协议，拟共同设立合营企业。合营企业拟在中国境内从事热电联产业务和工业污水处理业务。交易后，威立雅中国、科学城环保将分别持有合营企业7</w:t>
            </w:r>
            <w:r>
              <w:rPr>
                <w:rFonts w:ascii="宋体" w:hAnsi="宋体" w:eastAsia="宋体" w:cs="Arial"/>
                <w:color w:val="000000"/>
                <w:kern w:val="0"/>
                <w:sz w:val="24"/>
                <w:szCs w:val="24"/>
                <w:lang w:bidi="ar-AE"/>
              </w:rPr>
              <w:t>0%</w:t>
            </w:r>
            <w:r>
              <w:rPr>
                <w:rFonts w:hint="eastAsia" w:ascii="宋体" w:hAnsi="宋体" w:eastAsia="宋体" w:cs="Arial"/>
                <w:color w:val="000000"/>
                <w:kern w:val="0"/>
                <w:sz w:val="24"/>
                <w:szCs w:val="24"/>
                <w:lang w:bidi="ar-AE"/>
              </w:rPr>
              <w:t>和3</w:t>
            </w:r>
            <w:r>
              <w:rPr>
                <w:rFonts w:ascii="宋体" w:hAnsi="宋体" w:eastAsia="宋体" w:cs="Arial"/>
                <w:color w:val="000000"/>
                <w:kern w:val="0"/>
                <w:sz w:val="24"/>
                <w:szCs w:val="24"/>
                <w:lang w:bidi="ar-AE"/>
              </w:rPr>
              <w:t>0%</w:t>
            </w:r>
            <w:r>
              <w:rPr>
                <w:rFonts w:hint="eastAsia" w:ascii="宋体" w:hAnsi="宋体" w:eastAsia="宋体" w:cs="Arial"/>
                <w:color w:val="000000"/>
                <w:kern w:val="0"/>
                <w:sz w:val="24"/>
                <w:szCs w:val="24"/>
                <w:lang w:bidi="ar-AE"/>
              </w:rPr>
              <w:t>的股权，合营企业由威立雅中国和科学城环保共同控制。</w:t>
            </w:r>
          </w:p>
        </w:tc>
      </w:tr>
      <w:tr w14:paraId="452B0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69" w:type="dxa"/>
            <w:vMerge w:val="restart"/>
            <w:shd w:val="clear" w:color="auto" w:fill="D9D9D9"/>
            <w:vAlign w:val="center"/>
          </w:tcPr>
          <w:p w14:paraId="41EE17A6">
            <w:pPr>
              <w:jc w:val="center"/>
              <w:rPr>
                <w:rFonts w:ascii="宋体" w:hAnsi="宋体" w:eastAsia="宋体" w:cs="Times"/>
                <w:kern w:val="0"/>
                <w:sz w:val="24"/>
                <w:szCs w:val="24"/>
                <w:lang w:val="zh-CN" w:bidi="ar-AE"/>
              </w:rPr>
            </w:pPr>
            <w:r>
              <w:rPr>
                <w:rFonts w:hint="eastAsia" w:ascii="宋体" w:hAnsi="宋体" w:eastAsia="宋体" w:cs="Times"/>
                <w:kern w:val="0"/>
                <w:sz w:val="24"/>
                <w:szCs w:val="24"/>
                <w:lang w:val="zh-CN" w:bidi="ar-AE"/>
              </w:rPr>
              <w:t>参与集中的经营者简介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zh-CN" w:bidi="ar-AE"/>
              </w:rPr>
              <w:t>（每个限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zh-CN" w:bidi="ar-AE"/>
              </w:rPr>
              <w:t>）</w:t>
            </w:r>
          </w:p>
        </w:tc>
        <w:tc>
          <w:tcPr>
            <w:tcW w:w="1917" w:type="dxa"/>
            <w:shd w:val="clear" w:color="auto" w:fill="auto"/>
          </w:tcPr>
          <w:p w14:paraId="6B757807">
            <w:pPr>
              <w:widowControl/>
              <w:jc w:val="left"/>
              <w:rPr>
                <w:rFonts w:ascii="宋体" w:hAnsi="宋体" w:eastAsia="宋体" w:cs="Arial"/>
                <w:color w:val="000000"/>
                <w:kern w:val="0"/>
                <w:sz w:val="24"/>
                <w:szCs w:val="24"/>
                <w:lang w:val="zh-CN" w:bidi="ar-AE"/>
              </w:rPr>
            </w:pPr>
            <w:r>
              <w:rPr>
                <w:rFonts w:ascii="宋体" w:hAnsi="宋体" w:eastAsia="宋体" w:cs="Arial"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>
              <w:rPr>
                <w:rFonts w:hint="eastAsia" w:ascii="宋体" w:hAnsi="宋体" w:eastAsia="宋体" w:cs="Arial"/>
                <w:color w:val="000000"/>
                <w:kern w:val="0"/>
                <w:sz w:val="24"/>
                <w:szCs w:val="24"/>
                <w:lang w:bidi="ar-AE"/>
              </w:rPr>
              <w:t>威立雅中国</w:t>
            </w:r>
          </w:p>
        </w:tc>
        <w:tc>
          <w:tcPr>
            <w:tcW w:w="5386" w:type="dxa"/>
            <w:shd w:val="clear" w:color="auto" w:fill="auto"/>
          </w:tcPr>
          <w:p w14:paraId="46DFF3C3">
            <w:pPr>
              <w:widowControl/>
              <w:ind w:firstLine="480" w:firstLineChars="200"/>
              <w:rPr>
                <w:rFonts w:ascii="宋体" w:hAnsi="宋体" w:eastAsia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Arial"/>
                <w:color w:val="000000"/>
                <w:kern w:val="0"/>
                <w:sz w:val="24"/>
                <w:szCs w:val="24"/>
                <w:lang w:val="en-GB" w:bidi="ar-AE"/>
              </w:rPr>
              <w:t>威立雅中国于</w:t>
            </w:r>
            <w:r>
              <w:rPr>
                <w:rFonts w:ascii="宋体" w:hAnsi="宋体" w:eastAsia="宋体" w:cs="Arial"/>
                <w:color w:val="000000"/>
                <w:kern w:val="0"/>
                <w:sz w:val="24"/>
                <w:szCs w:val="24"/>
                <w:lang w:val="en-GB" w:bidi="ar-AE"/>
              </w:rPr>
              <w:t>2004</w:t>
            </w:r>
            <w:r>
              <w:rPr>
                <w:rFonts w:hint="eastAsia" w:ascii="宋体" w:hAnsi="宋体" w:eastAsia="宋体" w:cs="Arial"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>
              <w:rPr>
                <w:rFonts w:ascii="宋体" w:hAnsi="宋体" w:eastAsia="宋体" w:cs="Arial"/>
                <w:color w:val="000000"/>
                <w:kern w:val="0"/>
                <w:sz w:val="24"/>
                <w:szCs w:val="24"/>
                <w:lang w:val="en-GB" w:bidi="ar-AE"/>
              </w:rPr>
              <w:t>8</w:t>
            </w:r>
            <w:r>
              <w:rPr>
                <w:rFonts w:hint="eastAsia" w:ascii="宋体" w:hAnsi="宋体" w:eastAsia="宋体" w:cs="Arial"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>
              <w:rPr>
                <w:rFonts w:ascii="宋体" w:hAnsi="宋体" w:eastAsia="宋体" w:cs="Arial"/>
                <w:color w:val="000000"/>
                <w:kern w:val="0"/>
                <w:sz w:val="24"/>
                <w:szCs w:val="24"/>
                <w:lang w:val="en-GB" w:bidi="ar-AE"/>
              </w:rPr>
              <w:t>4</w:t>
            </w:r>
            <w:r>
              <w:rPr>
                <w:rFonts w:hint="eastAsia" w:ascii="宋体" w:hAnsi="宋体" w:eastAsia="宋体" w:cs="Arial"/>
                <w:color w:val="000000"/>
                <w:kern w:val="0"/>
                <w:sz w:val="24"/>
                <w:szCs w:val="24"/>
                <w:lang w:val="en-GB" w:bidi="ar-AE"/>
              </w:rPr>
              <w:t>日成立于中国香港，主要业务为提供水务、废弃物和能源管理服务。</w:t>
            </w:r>
          </w:p>
          <w:p w14:paraId="050C136D">
            <w:pPr>
              <w:widowControl/>
              <w:ind w:firstLine="480" w:firstLineChars="200"/>
              <w:rPr>
                <w:rFonts w:ascii="宋体" w:hAnsi="宋体" w:eastAsia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Arial"/>
                <w:color w:val="000000"/>
                <w:sz w:val="24"/>
                <w:szCs w:val="24"/>
              </w:rPr>
              <w:t>威立雅中国的最终控制人是威立雅环境集团，是巴黎证券交易所上市公司，主要业务为废弃物管理、能源管理和水务管理业务。</w:t>
            </w:r>
          </w:p>
        </w:tc>
      </w:tr>
      <w:tr w14:paraId="0B8C8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69" w:type="dxa"/>
            <w:vMerge w:val="continue"/>
            <w:shd w:val="clear" w:color="auto" w:fill="D9D9D9"/>
            <w:vAlign w:val="center"/>
          </w:tcPr>
          <w:p w14:paraId="117DAA4D">
            <w:pPr>
              <w:jc w:val="center"/>
              <w:rPr>
                <w:rFonts w:ascii="宋体" w:hAnsi="宋体" w:eastAsia="宋体" w:cs="Times"/>
                <w:kern w:val="0"/>
                <w:sz w:val="24"/>
                <w:szCs w:val="24"/>
                <w:lang w:val="zh-CN" w:bidi="ar-AE"/>
              </w:rPr>
            </w:pPr>
          </w:p>
        </w:tc>
        <w:tc>
          <w:tcPr>
            <w:tcW w:w="1917" w:type="dxa"/>
            <w:shd w:val="clear" w:color="auto" w:fill="auto"/>
          </w:tcPr>
          <w:p w14:paraId="7076DAD2">
            <w:pPr>
              <w:widowControl/>
              <w:jc w:val="left"/>
              <w:rPr>
                <w:rFonts w:ascii="宋体" w:hAnsi="宋体" w:eastAsia="宋体" w:cs="Arial"/>
                <w:color w:val="000000"/>
                <w:kern w:val="0"/>
                <w:szCs w:val="24"/>
                <w:lang w:bidi="ar-AE"/>
              </w:rPr>
            </w:pPr>
            <w:r>
              <w:rPr>
                <w:rFonts w:ascii="宋体" w:hAnsi="宋体" w:eastAsia="宋体" w:cs="Arial"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>
              <w:rPr>
                <w:rFonts w:hint="eastAsia" w:ascii="宋体" w:hAnsi="宋体" w:eastAsia="宋体" w:cs="Arial"/>
                <w:color w:val="000000"/>
                <w:kern w:val="0"/>
                <w:sz w:val="24"/>
                <w:szCs w:val="24"/>
                <w:lang w:bidi="ar-AE"/>
              </w:rPr>
              <w:t>科学城环保</w:t>
            </w:r>
          </w:p>
        </w:tc>
        <w:tc>
          <w:tcPr>
            <w:tcW w:w="5386" w:type="dxa"/>
            <w:shd w:val="clear" w:color="auto" w:fill="auto"/>
          </w:tcPr>
          <w:p w14:paraId="47CB8ABD">
            <w:pPr>
              <w:widowControl/>
              <w:ind w:firstLine="480" w:firstLineChars="200"/>
              <w:rPr>
                <w:rFonts w:ascii="宋体" w:hAnsi="宋体" w:eastAsia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Arial"/>
                <w:color w:val="000000"/>
                <w:kern w:val="0"/>
                <w:sz w:val="24"/>
                <w:szCs w:val="24"/>
                <w:lang w:val="en-GB" w:bidi="ar-AE"/>
              </w:rPr>
              <w:t>科学城环保于</w:t>
            </w:r>
            <w:r>
              <w:rPr>
                <w:rFonts w:ascii="宋体" w:hAnsi="宋体" w:eastAsia="宋体" w:cs="Arial"/>
                <w:color w:val="000000"/>
                <w:kern w:val="0"/>
                <w:sz w:val="24"/>
                <w:szCs w:val="24"/>
                <w:lang w:val="en-GB" w:bidi="ar-AE"/>
              </w:rPr>
              <w:t>2019年6月6日</w:t>
            </w:r>
            <w:r>
              <w:rPr>
                <w:rFonts w:hint="eastAsia" w:ascii="宋体" w:hAnsi="宋体" w:eastAsia="宋体" w:cs="Arial"/>
                <w:color w:val="000000"/>
                <w:kern w:val="0"/>
                <w:sz w:val="24"/>
                <w:szCs w:val="24"/>
                <w:lang w:val="en-GB" w:bidi="ar-AE"/>
              </w:rPr>
              <w:t>成立于广东省广州市，主要业务为环保工程、生态保护工程、环保咨询、土壤污染治理与修复服务。</w:t>
            </w:r>
          </w:p>
          <w:p w14:paraId="36EBF371">
            <w:pPr>
              <w:widowControl/>
              <w:ind w:firstLine="480" w:firstLineChars="200"/>
              <w:rPr>
                <w:rFonts w:ascii="宋体" w:hAnsi="宋体" w:eastAsia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Arial"/>
                <w:color w:val="000000"/>
                <w:kern w:val="0"/>
                <w:sz w:val="24"/>
                <w:szCs w:val="24"/>
                <w:lang w:val="en-GB" w:bidi="ar-AE"/>
              </w:rPr>
              <w:t>科学城环保的最终控制人是科学城（广州）投资集团有限公司，主要业务为城市更新、制造业、工程建设、水务等。</w:t>
            </w:r>
          </w:p>
        </w:tc>
      </w:tr>
      <w:tr w14:paraId="40244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69" w:type="dxa"/>
            <w:vMerge w:val="restart"/>
            <w:shd w:val="clear" w:color="auto" w:fill="D9D9D9"/>
            <w:vAlign w:val="center"/>
          </w:tcPr>
          <w:p w14:paraId="6DAB4EB2">
            <w:pPr>
              <w:widowControl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303" w:type="dxa"/>
            <w:gridSpan w:val="2"/>
            <w:shd w:val="clear" w:color="auto" w:fill="auto"/>
          </w:tcPr>
          <w:p w14:paraId="3CEB8D97">
            <w:pPr>
              <w:widowControl/>
              <w:rPr>
                <w:rFonts w:ascii="宋体" w:hAnsi="宋体" w:eastAsia="宋体" w:cs="Times New Roman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sym w:font="Wingdings" w:char="F0FE"/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 xml:space="preserve"> 1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、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在同一相关市场,参与集中的经营者所占的市场份额之和小于15%。</w:t>
            </w:r>
          </w:p>
        </w:tc>
      </w:tr>
      <w:tr w14:paraId="3A6D2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769" w:type="dxa"/>
            <w:vMerge w:val="continue"/>
            <w:shd w:val="clear" w:color="auto" w:fill="D9D9D9"/>
            <w:vAlign w:val="center"/>
          </w:tcPr>
          <w:p w14:paraId="1772F0D6">
            <w:pPr>
              <w:widowControl/>
              <w:jc w:val="center"/>
              <w:rPr>
                <w:rFonts w:ascii="宋体" w:hAnsi="宋体" w:eastAsia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303" w:type="dxa"/>
            <w:gridSpan w:val="2"/>
            <w:shd w:val="clear" w:color="auto" w:fill="auto"/>
          </w:tcPr>
          <w:p w14:paraId="4CFB98A6">
            <w:pPr>
              <w:widowControl/>
              <w:rPr>
                <w:rFonts w:ascii="宋体" w:hAnsi="宋体" w:eastAsia="宋体" w:cs="Times New Roman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sym w:font="Wingdings" w:char="F0FE"/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 xml:space="preserve"> 2、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在上下游市场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,参与集中的经营者所占的市场份额均小于25%。</w:t>
            </w:r>
          </w:p>
        </w:tc>
      </w:tr>
      <w:tr w14:paraId="3DFFE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69" w:type="dxa"/>
            <w:vMerge w:val="continue"/>
            <w:shd w:val="clear" w:color="auto" w:fill="D9D9D9"/>
            <w:vAlign w:val="center"/>
          </w:tcPr>
          <w:p w14:paraId="10F0665F">
            <w:pPr>
              <w:widowControl/>
              <w:jc w:val="center"/>
              <w:rPr>
                <w:rFonts w:ascii="宋体" w:hAnsi="宋体" w:eastAsia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303" w:type="dxa"/>
            <w:gridSpan w:val="2"/>
            <w:shd w:val="clear" w:color="auto" w:fill="auto"/>
          </w:tcPr>
          <w:p w14:paraId="7EC06D71">
            <w:pPr>
              <w:widowControl/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□ 3、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不在同一相关市场也不存在上下游关系的参与集中的经营者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, 在与交易有关的每个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市场所占的市场份额均小于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25% 。</w:t>
            </w:r>
          </w:p>
        </w:tc>
      </w:tr>
      <w:tr w14:paraId="395A8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1769" w:type="dxa"/>
            <w:vMerge w:val="continue"/>
            <w:shd w:val="clear" w:color="auto" w:fill="D9D9D9"/>
            <w:vAlign w:val="center"/>
          </w:tcPr>
          <w:p w14:paraId="16DD6631">
            <w:pPr>
              <w:widowControl/>
              <w:jc w:val="center"/>
              <w:rPr>
                <w:rFonts w:ascii="宋体" w:hAnsi="宋体" w:eastAsia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303" w:type="dxa"/>
            <w:gridSpan w:val="2"/>
            <w:shd w:val="clear" w:color="auto" w:fill="auto"/>
          </w:tcPr>
          <w:p w14:paraId="7E3D3E2A">
            <w:pPr>
              <w:widowControl/>
              <w:rPr>
                <w:rFonts w:ascii="宋体" w:hAnsi="宋体" w:eastAsia="宋体" w:cs="Times New Roman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□ 4、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参与集中的经营者在中国境外设立合营企业，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合营企业不在中国境内从事经济活动。</w:t>
            </w:r>
          </w:p>
        </w:tc>
      </w:tr>
      <w:tr w14:paraId="1476E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769" w:type="dxa"/>
            <w:vMerge w:val="continue"/>
            <w:shd w:val="clear" w:color="auto" w:fill="D9D9D9"/>
            <w:vAlign w:val="center"/>
          </w:tcPr>
          <w:p w14:paraId="37FE241A">
            <w:pPr>
              <w:widowControl/>
              <w:jc w:val="center"/>
              <w:rPr>
                <w:rFonts w:ascii="宋体" w:hAnsi="宋体" w:eastAsia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303" w:type="dxa"/>
            <w:gridSpan w:val="2"/>
            <w:shd w:val="clear" w:color="auto" w:fill="auto"/>
          </w:tcPr>
          <w:p w14:paraId="5FF608C7">
            <w:pPr>
              <w:widowControl/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□ 5、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参与集中的经营者收购境外企业股权或资产的，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该境外企业不在中国境内从事经济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活动。</w:t>
            </w:r>
          </w:p>
        </w:tc>
      </w:tr>
      <w:tr w14:paraId="516CF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69" w:type="dxa"/>
            <w:vMerge w:val="continue"/>
            <w:shd w:val="clear" w:color="auto" w:fill="D9D9D9"/>
            <w:vAlign w:val="center"/>
          </w:tcPr>
          <w:p w14:paraId="4BC600D5">
            <w:pPr>
              <w:widowControl/>
              <w:jc w:val="center"/>
              <w:rPr>
                <w:rFonts w:ascii="宋体" w:hAnsi="宋体" w:eastAsia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303" w:type="dxa"/>
            <w:gridSpan w:val="2"/>
            <w:shd w:val="clear" w:color="auto" w:fill="auto"/>
          </w:tcPr>
          <w:p w14:paraId="64254C70">
            <w:pPr>
              <w:widowControl/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□ 6、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由两个以上的经营者共同控制的合营企业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, 通过集中被其中一个或一个以上经营者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控制。</w:t>
            </w:r>
          </w:p>
        </w:tc>
      </w:tr>
      <w:tr w14:paraId="2DF3E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769" w:type="dxa"/>
            <w:shd w:val="clear" w:color="auto" w:fill="D9D9D9"/>
            <w:vAlign w:val="center"/>
          </w:tcPr>
          <w:p w14:paraId="2510EC6B">
            <w:pPr>
              <w:widowControl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备注</w:t>
            </w:r>
          </w:p>
        </w:tc>
        <w:tc>
          <w:tcPr>
            <w:tcW w:w="7303" w:type="dxa"/>
            <w:gridSpan w:val="2"/>
            <w:shd w:val="clear" w:color="auto" w:fill="auto"/>
          </w:tcPr>
          <w:p w14:paraId="657508C4">
            <w:pPr>
              <w:widowControl/>
              <w:rPr>
                <w:rFonts w:ascii="宋体" w:hAnsi="宋体" w:eastAsia="宋体" w:cs="Times New Roman"/>
                <w:b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Times New Roman"/>
                <w:b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 w14:paraId="2ECD486D">
            <w:pPr>
              <w:widowControl/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2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024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年中国境内热电联产市场：</w:t>
            </w:r>
          </w:p>
          <w:p w14:paraId="77EF4BBA">
            <w:pPr>
              <w:widowControl/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威立雅中国：0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-5%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，合营企业（预估）：0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-5%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，各方合计：0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-5%</w:t>
            </w:r>
          </w:p>
          <w:p w14:paraId="20CB5E38">
            <w:pPr>
              <w:widowControl/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2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024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年中国境内工业污水处理市场：</w:t>
            </w:r>
          </w:p>
          <w:p w14:paraId="35969D9C">
            <w:pPr>
              <w:widowControl/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威立雅中国：0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-5%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，科学城环保：0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-5%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，合营企业（预估）：0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-5%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，各方合计：0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-5%</w:t>
            </w:r>
          </w:p>
          <w:p w14:paraId="2DB0FD50">
            <w:pPr>
              <w:widowControl/>
              <w:rPr>
                <w:rFonts w:ascii="宋体" w:hAnsi="宋体" w:eastAsia="宋体" w:cs="Times New Roman"/>
                <w:b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Times New Roman"/>
                <w:b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 w14:paraId="7806BE8C">
            <w:pPr>
              <w:widowControl/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上游：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2024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年中国境内污水处理工程承包市场：</w:t>
            </w:r>
          </w:p>
          <w:p w14:paraId="159FB516">
            <w:pPr>
              <w:widowControl/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科学城环保：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0-5%</w:t>
            </w:r>
          </w:p>
          <w:p w14:paraId="0C9BD6B0">
            <w:pPr>
              <w:widowControl/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下游：</w:t>
            </w:r>
            <w:r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2024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年中国境内工业污水处理市场：</w:t>
            </w:r>
          </w:p>
          <w:p w14:paraId="0E9D65F5">
            <w:pPr>
              <w:widowControl/>
              <w:rPr>
                <w:rFonts w:ascii="宋体" w:hAnsi="宋体" w:eastAsia="宋体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GB" w:bidi="ar-AE"/>
              </w:rPr>
              <w:t>威立雅中国、科学城环保、合营企业（预估）：如上所述</w:t>
            </w:r>
          </w:p>
        </w:tc>
      </w:tr>
    </w:tbl>
    <w:p w14:paraId="3089220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725B25"/>
    <w:rsid w:val="4A72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2026-03-23T01:46:00Z</dcterms:created>
  <dc:creator>郑玉丽</dc:creator>
  <cp:lastModifiedBy>郑玉丽</cp:lastModifiedBy>
  <dcterms:modified xsi:type="dcterms:W3CDTF">2026-03-23T01:46:58Z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E37D0A2D643F4B1689E1EFCF4D7D0F1F_11</vt:lpwstr>
  </property>
  <property fmtid="{D5CDD505-2E9C-101B-9397-08002B2CF9AE}" pid="4" name="KSOTemplateDocerSaveRecord">
    <vt:lpwstr>eyJoZGlkIjoiODNjM2VkZWUwYjdkZDYzZGY2NmZiZGNiZGIyMjFjYWIiLCJ1c2VySWQiOiIxMjE0ODEzMDc5In0=</vt:lpwstr>
  </property>
</Properties>
</file>