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4095" w:rsidRPr="008E7B8C" w:rsidRDefault="00094095" w:rsidP="00094095">
      <w:pPr>
        <w:spacing w:line="440" w:lineRule="exact"/>
        <w:jc w:val="center"/>
        <w:rPr>
          <w:rFonts w:ascii="黑体" w:eastAsia="黑体" w:hAnsi="Times New Roman" w:cs="Times New Roman"/>
          <w:sz w:val="30"/>
          <w:szCs w:val="30"/>
        </w:rPr>
      </w:pPr>
      <w:r w:rsidRPr="00202C4C">
        <w:rPr>
          <w:rFonts w:ascii="黑体" w:eastAsia="黑体" w:hAnsi="Times New Roman" w:cs="Times New Roman" w:hint="eastAsia"/>
          <w:sz w:val="30"/>
          <w:szCs w:val="30"/>
        </w:rPr>
        <w:t>经营者集中简易案件公示表</w:t>
      </w:r>
    </w:p>
    <w:p w:rsidR="00094095" w:rsidRDefault="00094095" w:rsidP="00094095">
      <w:pPr>
        <w:spacing w:line="440" w:lineRule="exact"/>
        <w:rPr>
          <w:rFonts w:ascii="黑体" w:eastAsia="黑体" w:hAnsi="Times New Roman" w:cs="Times New Roman"/>
          <w:sz w:val="28"/>
          <w:szCs w:val="28"/>
        </w:rPr>
      </w:pPr>
    </w:p>
    <w:tbl>
      <w:tblPr>
        <w:tblStyle w:val="a3"/>
        <w:tblW w:w="8758" w:type="dxa"/>
        <w:tblLook w:val="04A0" w:firstRow="1" w:lastRow="0" w:firstColumn="1" w:lastColumn="0" w:noHBand="0" w:noVBand="1"/>
      </w:tblPr>
      <w:tblGrid>
        <w:gridCol w:w="1809"/>
        <w:gridCol w:w="1796"/>
        <w:gridCol w:w="5153"/>
      </w:tblGrid>
      <w:tr w:rsidR="00094095" w:rsidRPr="00202C4C" w:rsidTr="00F400C5">
        <w:tc>
          <w:tcPr>
            <w:tcW w:w="1809" w:type="dxa"/>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r>
              <w:rPr>
                <w:rFonts w:ascii="黑体" w:eastAsia="黑体" w:hAnsi="Times New Roman" w:cs="Times New Roman" w:hint="eastAsia"/>
                <w:sz w:val="28"/>
                <w:szCs w:val="28"/>
              </w:rPr>
              <w:t xml:space="preserve">                        </w:t>
            </w:r>
            <w:r w:rsidRPr="00BA1596">
              <w:rPr>
                <w:rFonts w:ascii="仿宋_GB2312" w:eastAsia="仿宋_GB2312" w:hAnsi="Times New Roman" w:cs="Times New Roman" w:hint="eastAsia"/>
                <w:sz w:val="28"/>
                <w:szCs w:val="28"/>
              </w:rPr>
              <w:t xml:space="preserve"> </w:t>
            </w:r>
            <w:r w:rsidRPr="00202C4C">
              <w:rPr>
                <w:rFonts w:ascii="仿宋_GB2312" w:eastAsia="仿宋_GB2312" w:hAnsi="Times New Roman" w:cs="Times New Roman" w:hint="eastAsia"/>
                <w:sz w:val="28"/>
                <w:szCs w:val="28"/>
              </w:rPr>
              <w:t>案件名称</w:t>
            </w:r>
          </w:p>
        </w:tc>
        <w:tc>
          <w:tcPr>
            <w:tcW w:w="6949" w:type="dxa"/>
            <w:gridSpan w:val="2"/>
          </w:tcPr>
          <w:p w:rsidR="00094095" w:rsidRPr="00202C4C" w:rsidRDefault="002863D2" w:rsidP="00CD18CD">
            <w:pPr>
              <w:spacing w:line="276" w:lineRule="auto"/>
              <w:rPr>
                <w:rFonts w:ascii="仿宋_GB2312" w:eastAsia="仿宋_GB2312" w:hAnsi="Times New Roman" w:cs="Times New Roman"/>
                <w:sz w:val="28"/>
                <w:szCs w:val="28"/>
              </w:rPr>
            </w:pPr>
            <w:r w:rsidRPr="002863D2">
              <w:rPr>
                <w:rFonts w:ascii="仿宋_GB2312" w:eastAsia="仿宋_GB2312" w:hAnsi="Times New Roman" w:cs="Times New Roman" w:hint="eastAsia"/>
                <w:sz w:val="28"/>
                <w:szCs w:val="28"/>
              </w:rPr>
              <w:t>深圳市得润电子股份有限公司收购柳州市双飞汽车电器配件制造有限公司股权案</w:t>
            </w:r>
          </w:p>
        </w:tc>
      </w:tr>
      <w:tr w:rsidR="00094095" w:rsidRPr="00202C4C" w:rsidTr="00F400C5">
        <w:trPr>
          <w:trHeight w:val="993"/>
        </w:trPr>
        <w:tc>
          <w:tcPr>
            <w:tcW w:w="1809" w:type="dxa"/>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rPr>
              <w:t>交易</w:t>
            </w:r>
            <w:r w:rsidRPr="00202C4C">
              <w:rPr>
                <w:rFonts w:ascii="仿宋_GB2312" w:eastAsia="仿宋_GB2312" w:hAnsi="Times New Roman" w:cs="Times New Roman" w:hint="eastAsia"/>
                <w:sz w:val="28"/>
                <w:szCs w:val="28"/>
              </w:rPr>
              <w:t>概况（限</w:t>
            </w:r>
            <w:r>
              <w:rPr>
                <w:rFonts w:ascii="仿宋_GB2312" w:eastAsia="仿宋_GB2312" w:hAnsi="Times New Roman" w:cs="Times New Roman" w:hint="eastAsia"/>
                <w:sz w:val="28"/>
                <w:szCs w:val="28"/>
              </w:rPr>
              <w:t>2</w:t>
            </w:r>
            <w:r w:rsidRPr="00202C4C">
              <w:rPr>
                <w:rFonts w:ascii="仿宋_GB2312" w:eastAsia="仿宋_GB2312" w:hAnsi="Times New Roman" w:cs="Times New Roman" w:hint="eastAsia"/>
                <w:sz w:val="28"/>
                <w:szCs w:val="28"/>
              </w:rPr>
              <w:t>00字内）</w:t>
            </w:r>
          </w:p>
        </w:tc>
        <w:tc>
          <w:tcPr>
            <w:tcW w:w="6949" w:type="dxa"/>
            <w:gridSpan w:val="2"/>
          </w:tcPr>
          <w:p w:rsidR="00094095" w:rsidRPr="00647A56" w:rsidRDefault="002863D2" w:rsidP="00CA5049">
            <w:pPr>
              <w:spacing w:line="276" w:lineRule="auto"/>
              <w:rPr>
                <w:rFonts w:ascii="仿宋_GB2312" w:eastAsia="仿宋_GB2312" w:hAnsi="Times New Roman" w:cs="Times New Roman"/>
                <w:sz w:val="28"/>
                <w:szCs w:val="28"/>
              </w:rPr>
            </w:pPr>
            <w:r w:rsidRPr="002863D2">
              <w:rPr>
                <w:rFonts w:ascii="仿宋_GB2312" w:eastAsia="仿宋_GB2312" w:hAnsi="Times New Roman" w:cs="Times New Roman" w:hint="eastAsia"/>
                <w:sz w:val="28"/>
                <w:szCs w:val="28"/>
              </w:rPr>
              <w:t>深圳市得润电子股份有限公司</w:t>
            </w:r>
            <w:r w:rsidR="00CA5049">
              <w:rPr>
                <w:rFonts w:ascii="仿宋_GB2312" w:eastAsia="仿宋_GB2312" w:hAnsi="Times New Roman" w:cs="Times New Roman" w:hint="eastAsia"/>
                <w:sz w:val="28"/>
                <w:szCs w:val="28"/>
              </w:rPr>
              <w:t>（“</w:t>
            </w:r>
            <w:r>
              <w:rPr>
                <w:rFonts w:ascii="仿宋_GB2312" w:eastAsia="仿宋_GB2312" w:hAnsi="Times New Roman" w:cs="Times New Roman" w:hint="eastAsia"/>
                <w:sz w:val="28"/>
                <w:szCs w:val="28"/>
              </w:rPr>
              <w:t>得润电子</w:t>
            </w:r>
            <w:r w:rsidR="00CA5049">
              <w:rPr>
                <w:rFonts w:ascii="仿宋_GB2312" w:eastAsia="仿宋_GB2312" w:hAnsi="Times New Roman" w:cs="Times New Roman" w:hint="eastAsia"/>
                <w:sz w:val="28"/>
                <w:szCs w:val="28"/>
              </w:rPr>
              <w:t>”）</w:t>
            </w:r>
            <w:r w:rsidR="00260AE0" w:rsidRPr="00260AE0">
              <w:rPr>
                <w:rFonts w:ascii="仿宋_GB2312" w:eastAsia="仿宋_GB2312" w:hAnsi="Times New Roman" w:cs="Times New Roman" w:hint="eastAsia"/>
                <w:sz w:val="28"/>
                <w:szCs w:val="28"/>
              </w:rPr>
              <w:t>拟通过发行股份及支付现金的方式购买</w:t>
            </w:r>
            <w:r w:rsidRPr="002863D2">
              <w:rPr>
                <w:rFonts w:ascii="仿宋_GB2312" w:eastAsia="仿宋_GB2312" w:hAnsi="Times New Roman" w:cs="Times New Roman" w:hint="eastAsia"/>
                <w:sz w:val="28"/>
                <w:szCs w:val="28"/>
              </w:rPr>
              <w:t>苏进持有的柳州市双飞汽车电器配件制造有限公司</w:t>
            </w:r>
            <w:r w:rsidR="00CA5049">
              <w:rPr>
                <w:rFonts w:ascii="仿宋_GB2312" w:eastAsia="仿宋_GB2312" w:hAnsi="Times New Roman" w:cs="Times New Roman" w:hint="eastAsia"/>
                <w:sz w:val="28"/>
                <w:szCs w:val="28"/>
              </w:rPr>
              <w:t>（“</w:t>
            </w:r>
            <w:r>
              <w:rPr>
                <w:rFonts w:ascii="仿宋_GB2312" w:eastAsia="仿宋_GB2312" w:hAnsi="Times New Roman" w:cs="Times New Roman" w:hint="eastAsia"/>
                <w:sz w:val="28"/>
                <w:szCs w:val="28"/>
              </w:rPr>
              <w:t>柳州双飞</w:t>
            </w:r>
            <w:r w:rsidR="00CA5049">
              <w:rPr>
                <w:rFonts w:ascii="仿宋_GB2312" w:eastAsia="仿宋_GB2312" w:hAnsi="Times New Roman" w:cs="Times New Roman" w:hint="eastAsia"/>
                <w:sz w:val="28"/>
                <w:szCs w:val="28"/>
              </w:rPr>
              <w:t>”）</w:t>
            </w:r>
            <w:r>
              <w:rPr>
                <w:rFonts w:ascii="仿宋_GB2312" w:eastAsia="仿宋_GB2312" w:hAnsi="Times New Roman" w:cs="Times New Roman"/>
                <w:sz w:val="28"/>
                <w:szCs w:val="28"/>
              </w:rPr>
              <w:t>60</w:t>
            </w:r>
            <w:r w:rsidR="00260AE0" w:rsidRPr="00260AE0">
              <w:rPr>
                <w:rFonts w:ascii="仿宋_GB2312" w:eastAsia="仿宋_GB2312" w:hAnsi="Times New Roman" w:cs="Times New Roman"/>
                <w:sz w:val="28"/>
                <w:szCs w:val="28"/>
              </w:rPr>
              <w:t>%</w:t>
            </w:r>
            <w:r w:rsidR="00CA5049">
              <w:rPr>
                <w:rFonts w:ascii="仿宋_GB2312" w:eastAsia="仿宋_GB2312" w:hAnsi="Times New Roman" w:cs="Times New Roman" w:hint="eastAsia"/>
                <w:sz w:val="28"/>
                <w:szCs w:val="28"/>
              </w:rPr>
              <w:t>股权。</w:t>
            </w:r>
          </w:p>
        </w:tc>
      </w:tr>
      <w:tr w:rsidR="00094095" w:rsidRPr="00202C4C" w:rsidTr="00B7710B">
        <w:trPr>
          <w:trHeight w:val="64"/>
        </w:trPr>
        <w:tc>
          <w:tcPr>
            <w:tcW w:w="1809" w:type="dxa"/>
            <w:vMerge w:val="restart"/>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参与集中的经营者简介</w:t>
            </w:r>
          </w:p>
        </w:tc>
        <w:tc>
          <w:tcPr>
            <w:tcW w:w="1796" w:type="dxa"/>
          </w:tcPr>
          <w:p w:rsidR="00094095" w:rsidRPr="0004751A" w:rsidRDefault="0004751A" w:rsidP="00CD18CD">
            <w:pPr>
              <w:spacing w:line="276" w:lineRule="auto"/>
              <w:rPr>
                <w:rFonts w:ascii="仿宋_GB2312" w:eastAsia="仿宋_GB2312" w:hAnsi="Times New Roman" w:cs="Times New Roman"/>
                <w:sz w:val="28"/>
                <w:szCs w:val="28"/>
              </w:rPr>
            </w:pPr>
            <w:r w:rsidRPr="0004751A">
              <w:rPr>
                <w:rFonts w:ascii="仿宋_GB2312" w:eastAsia="仿宋_GB2312" w:hAnsi="Times New Roman" w:cs="Times New Roman"/>
                <w:bCs/>
                <w:sz w:val="28"/>
                <w:szCs w:val="28"/>
              </w:rPr>
              <w:t>1、</w:t>
            </w:r>
            <w:r w:rsidR="002B4634" w:rsidRPr="002863D2">
              <w:rPr>
                <w:rFonts w:ascii="仿宋_GB2312" w:eastAsia="仿宋_GB2312" w:hAnsi="Times New Roman" w:cs="Times New Roman" w:hint="eastAsia"/>
                <w:sz w:val="28"/>
                <w:szCs w:val="28"/>
              </w:rPr>
              <w:t>深圳市得润电子股份有限公司</w:t>
            </w:r>
          </w:p>
        </w:tc>
        <w:tc>
          <w:tcPr>
            <w:tcW w:w="5153" w:type="dxa"/>
          </w:tcPr>
          <w:p w:rsidR="00094095" w:rsidRPr="004B3D00" w:rsidRDefault="00A77F40" w:rsidP="00E504F3">
            <w:pPr>
              <w:spacing w:line="276" w:lineRule="auto"/>
              <w:jc w:val="left"/>
              <w:rPr>
                <w:rFonts w:ascii="仿宋_GB2312" w:eastAsia="仿宋_GB2312" w:hAnsi="Times New Roman" w:cs="Times New Roman"/>
                <w:bCs/>
                <w:sz w:val="28"/>
                <w:szCs w:val="28"/>
              </w:rPr>
            </w:pPr>
            <w:r w:rsidRPr="00A77F40">
              <w:rPr>
                <w:rFonts w:ascii="仿宋_GB2312" w:eastAsia="仿宋_GB2312" w:hAnsi="Times New Roman" w:cs="Times New Roman" w:hint="eastAsia"/>
                <w:bCs/>
                <w:sz w:val="28"/>
                <w:szCs w:val="28"/>
              </w:rPr>
              <w:t>得润电子是一家主要经营家电和消费类 电子、汽车相关电子和电气以及车联网相关产品和服务的上市公司。目前得润电 子划分为三大事业群，分别是家电和消费 电子事业群，汽车电子和电气事业群和车 联网事业群</w:t>
            </w:r>
            <w:bookmarkStart w:id="0" w:name="_GoBack"/>
            <w:bookmarkEnd w:id="0"/>
          </w:p>
        </w:tc>
      </w:tr>
      <w:tr w:rsidR="00094095" w:rsidRPr="00202C4C" w:rsidTr="00F400C5">
        <w:trPr>
          <w:trHeight w:val="404"/>
        </w:trPr>
        <w:tc>
          <w:tcPr>
            <w:tcW w:w="1809" w:type="dxa"/>
            <w:vMerge/>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p>
        </w:tc>
        <w:tc>
          <w:tcPr>
            <w:tcW w:w="1796" w:type="dxa"/>
          </w:tcPr>
          <w:p w:rsidR="00094095" w:rsidRPr="00E504F3" w:rsidRDefault="00E504F3" w:rsidP="00CD18CD">
            <w:pPr>
              <w:spacing w:line="276" w:lineRule="auto"/>
              <w:rPr>
                <w:rFonts w:ascii="仿宋_GB2312" w:eastAsia="仿宋_GB2312" w:hAnsi="Times New Roman" w:cs="Times New Roman"/>
                <w:sz w:val="28"/>
                <w:szCs w:val="28"/>
              </w:rPr>
            </w:pPr>
            <w:r w:rsidRPr="00E504F3">
              <w:rPr>
                <w:rFonts w:ascii="仿宋_GB2312" w:eastAsia="仿宋_GB2312" w:hAnsi="Times New Roman" w:cs="Times New Roman"/>
                <w:bCs/>
                <w:sz w:val="28"/>
                <w:szCs w:val="28"/>
              </w:rPr>
              <w:t>2、</w:t>
            </w:r>
            <w:r w:rsidR="003334B5" w:rsidRPr="003334B5">
              <w:rPr>
                <w:rFonts w:ascii="仿宋_GB2312" w:eastAsia="仿宋_GB2312" w:hAnsi="Times New Roman" w:cs="Times New Roman" w:hint="eastAsia"/>
                <w:bCs/>
                <w:sz w:val="28"/>
                <w:szCs w:val="28"/>
              </w:rPr>
              <w:t>柳州市双飞汽车电器配件制造有限公司</w:t>
            </w:r>
          </w:p>
        </w:tc>
        <w:tc>
          <w:tcPr>
            <w:tcW w:w="5153" w:type="dxa"/>
          </w:tcPr>
          <w:p w:rsidR="00094095" w:rsidRPr="00385055" w:rsidRDefault="00385055" w:rsidP="00CA5049">
            <w:pPr>
              <w:widowControl/>
              <w:rPr>
                <w:rFonts w:ascii="仿宋_GB2312" w:eastAsia="仿宋_GB2312" w:hAnsi="Times New Roman" w:cs="Times New Roman"/>
                <w:bCs/>
                <w:sz w:val="28"/>
                <w:szCs w:val="28"/>
              </w:rPr>
            </w:pPr>
            <w:r>
              <w:rPr>
                <w:rFonts w:ascii="仿宋_GB2312" w:eastAsia="仿宋_GB2312" w:hAnsi="Times New Roman" w:cs="Times New Roman" w:hint="eastAsia"/>
                <w:bCs/>
                <w:sz w:val="28"/>
                <w:szCs w:val="28"/>
              </w:rPr>
              <w:t>柳州双飞</w:t>
            </w:r>
            <w:r w:rsidR="00E504F3" w:rsidRPr="00E504F3">
              <w:rPr>
                <w:rFonts w:ascii="仿宋_GB2312" w:eastAsia="仿宋_GB2312" w:hAnsi="Times New Roman" w:cs="Times New Roman" w:hint="eastAsia"/>
                <w:bCs/>
                <w:sz w:val="28"/>
                <w:szCs w:val="28"/>
              </w:rPr>
              <w:t>是一家以</w:t>
            </w:r>
            <w:r w:rsidRPr="00385055">
              <w:rPr>
                <w:rFonts w:ascii="仿宋_GB2312" w:eastAsia="仿宋_GB2312" w:hAnsi="Times New Roman" w:cs="Times New Roman" w:hint="eastAsia"/>
                <w:bCs/>
                <w:sz w:val="28"/>
                <w:szCs w:val="28"/>
              </w:rPr>
              <w:t>汽车线束的研发、生产、检测和销售</w:t>
            </w:r>
            <w:r w:rsidR="00E504F3" w:rsidRPr="00E504F3">
              <w:rPr>
                <w:rFonts w:ascii="仿宋_GB2312" w:eastAsia="仿宋_GB2312" w:hAnsi="Times New Roman" w:cs="Times New Roman" w:hint="eastAsia"/>
                <w:bCs/>
                <w:sz w:val="28"/>
                <w:szCs w:val="28"/>
              </w:rPr>
              <w:t>为主要业务的</w:t>
            </w:r>
            <w:r w:rsidR="00E504F3">
              <w:rPr>
                <w:rFonts w:ascii="仿宋_GB2312" w:eastAsia="仿宋_GB2312" w:hAnsi="Times New Roman" w:cs="Times New Roman" w:hint="eastAsia"/>
                <w:bCs/>
                <w:sz w:val="28"/>
                <w:szCs w:val="28"/>
              </w:rPr>
              <w:t>非上市股份有限公司</w:t>
            </w:r>
            <w:r>
              <w:rPr>
                <w:rFonts w:ascii="仿宋_GB2312" w:eastAsia="仿宋_GB2312" w:hAnsi="Times New Roman" w:cs="Times New Roman" w:hint="eastAsia"/>
                <w:bCs/>
                <w:sz w:val="28"/>
                <w:szCs w:val="28"/>
              </w:rPr>
              <w:t>，</w:t>
            </w:r>
            <w:r w:rsidRPr="00385055">
              <w:rPr>
                <w:rFonts w:ascii="仿宋_GB2312" w:eastAsia="仿宋_GB2312" w:hAnsi="Times New Roman" w:cs="Times New Roman" w:hint="eastAsia"/>
                <w:bCs/>
                <w:sz w:val="28"/>
                <w:szCs w:val="28"/>
              </w:rPr>
              <w:t>主要为各种乘用车、商用车等配套汽车线束。</w:t>
            </w:r>
          </w:p>
        </w:tc>
      </w:tr>
      <w:tr w:rsidR="00094095" w:rsidRPr="00202C4C" w:rsidTr="00F400C5">
        <w:trPr>
          <w:trHeight w:val="279"/>
        </w:trPr>
        <w:tc>
          <w:tcPr>
            <w:tcW w:w="1809" w:type="dxa"/>
            <w:vMerge w:val="restart"/>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简易案件理由</w:t>
            </w:r>
            <w:r w:rsidRPr="00202C4C">
              <w:rPr>
                <w:rStyle w:val="a6"/>
                <w:rFonts w:ascii="仿宋_GB2312" w:eastAsia="仿宋_GB2312" w:hAnsi="Times New Roman" w:cs="Times New Roman"/>
                <w:sz w:val="28"/>
                <w:szCs w:val="28"/>
              </w:rPr>
              <w:endnoteReference w:id="1"/>
            </w:r>
            <w:r>
              <w:rPr>
                <w:rFonts w:ascii="仿宋_GB2312" w:eastAsia="仿宋_GB2312" w:hAnsi="Times New Roman" w:cs="Times New Roman" w:hint="eastAsia"/>
                <w:sz w:val="28"/>
                <w:szCs w:val="28"/>
              </w:rPr>
              <w:t>（可多选）</w:t>
            </w:r>
          </w:p>
        </w:tc>
        <w:tc>
          <w:tcPr>
            <w:tcW w:w="6949" w:type="dxa"/>
            <w:gridSpan w:val="2"/>
          </w:tcPr>
          <w:p w:rsidR="00094095" w:rsidRPr="00202C4C" w:rsidRDefault="00036A2B" w:rsidP="00F400C5">
            <w:pPr>
              <w:spacing w:line="500" w:lineRule="exact"/>
              <w:rPr>
                <w:rFonts w:ascii="仿宋_GB2312" w:eastAsia="仿宋_GB2312" w:hAnsi="Times New Roman" w:cs="Times New Roman"/>
                <w:sz w:val="28"/>
                <w:szCs w:val="28"/>
              </w:rPr>
            </w:pPr>
            <w:r>
              <w:rPr>
                <w:rFonts w:ascii="Wingdings" w:eastAsia="黑体" w:hAnsi="Wingdings" w:cs="Times New Roman"/>
                <w:color w:val="000000"/>
                <w:kern w:val="0"/>
                <w:sz w:val="28"/>
                <w:szCs w:val="28"/>
              </w:rPr>
              <w:t></w:t>
            </w:r>
            <w:r w:rsidR="00094095" w:rsidRPr="00202C4C">
              <w:rPr>
                <w:rFonts w:ascii="仿宋_GB2312" w:eastAsia="仿宋_GB2312" w:hAnsi="Times New Roman" w:cs="Times New Roman" w:hint="eastAsia"/>
                <w:sz w:val="28"/>
                <w:szCs w:val="28"/>
              </w:rPr>
              <w:t>1、在同一相关市场，所有参与集中的经营者所占市场份额之和小于15%。</w:t>
            </w:r>
          </w:p>
        </w:tc>
      </w:tr>
      <w:tr w:rsidR="00094095" w:rsidRPr="00202C4C" w:rsidTr="00F400C5">
        <w:trPr>
          <w:trHeight w:val="330"/>
        </w:trPr>
        <w:tc>
          <w:tcPr>
            <w:tcW w:w="1809" w:type="dxa"/>
            <w:vMerge/>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rsidR="00094095" w:rsidRPr="00202C4C" w:rsidRDefault="008D1935" w:rsidP="00F400C5">
            <w:pPr>
              <w:spacing w:line="500" w:lineRule="exact"/>
              <w:rPr>
                <w:rFonts w:ascii="仿宋_GB2312" w:eastAsia="仿宋_GB2312" w:hAnsi="Times New Roman" w:cs="Times New Roman"/>
                <w:sz w:val="28"/>
                <w:szCs w:val="28"/>
              </w:rPr>
            </w:pPr>
            <w:r>
              <w:rPr>
                <w:rFonts w:ascii="仿宋_GB2312" w:eastAsia="仿宋_GB2312" w:hAnsi="Times New Roman" w:cs="Times New Roman" w:hint="eastAsia"/>
                <w:kern w:val="0"/>
                <w:sz w:val="28"/>
                <w:szCs w:val="28"/>
              </w:rPr>
              <w:t>□</w:t>
            </w:r>
            <w:r w:rsidR="00094095" w:rsidRPr="00202C4C">
              <w:rPr>
                <w:rFonts w:ascii="仿宋_GB2312" w:eastAsia="仿宋_GB2312" w:hAnsi="Times New Roman" w:cs="Times New Roman" w:hint="eastAsia"/>
                <w:sz w:val="28"/>
                <w:szCs w:val="28"/>
              </w:rPr>
              <w:t>2、存在上下游关系的参与集中的经营者，在上下游市场所占的市场份额均小于25%。</w:t>
            </w:r>
          </w:p>
        </w:tc>
      </w:tr>
      <w:tr w:rsidR="00094095" w:rsidRPr="00202C4C" w:rsidTr="00F400C5">
        <w:trPr>
          <w:trHeight w:val="285"/>
        </w:trPr>
        <w:tc>
          <w:tcPr>
            <w:tcW w:w="1809" w:type="dxa"/>
            <w:vMerge/>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rsidR="00094095" w:rsidRPr="00202C4C" w:rsidRDefault="0039339C" w:rsidP="00F400C5">
            <w:pPr>
              <w:spacing w:line="500" w:lineRule="exact"/>
              <w:rPr>
                <w:rFonts w:ascii="仿宋_GB2312" w:eastAsia="仿宋_GB2312" w:hAnsi="Times New Roman" w:cs="Times New Roman"/>
                <w:sz w:val="28"/>
                <w:szCs w:val="28"/>
              </w:rPr>
            </w:pPr>
            <w:r>
              <w:rPr>
                <w:rFonts w:ascii="仿宋_GB2312" w:eastAsia="仿宋_GB2312" w:hAnsi="Times New Roman" w:cs="Times New Roman" w:hint="eastAsia"/>
                <w:kern w:val="0"/>
                <w:sz w:val="28"/>
                <w:szCs w:val="28"/>
              </w:rPr>
              <w:t>□</w:t>
            </w:r>
            <w:r w:rsidR="00094095" w:rsidRPr="00202C4C">
              <w:rPr>
                <w:rFonts w:ascii="仿宋_GB2312" w:eastAsia="仿宋_GB2312" w:hAnsi="Times New Roman" w:cs="Times New Roman" w:hint="eastAsia"/>
                <w:sz w:val="28"/>
                <w:szCs w:val="28"/>
              </w:rPr>
              <w:t>3、不在同一相关市场、也不存在上下游关系的参与集中的经营者，在与交易有关的每个市场所占的份额均小于25%。</w:t>
            </w:r>
          </w:p>
        </w:tc>
      </w:tr>
      <w:tr w:rsidR="00094095" w:rsidRPr="00202C4C" w:rsidTr="00F400C5">
        <w:trPr>
          <w:trHeight w:val="870"/>
        </w:trPr>
        <w:tc>
          <w:tcPr>
            <w:tcW w:w="1809" w:type="dxa"/>
            <w:vMerge/>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□4、参与集中的经营者在中国境外设立合营企业，合营企业不在中国境内从事经济活动。</w:t>
            </w:r>
          </w:p>
        </w:tc>
      </w:tr>
      <w:tr w:rsidR="00094095" w:rsidRPr="00202C4C" w:rsidTr="00F400C5">
        <w:trPr>
          <w:trHeight w:val="264"/>
        </w:trPr>
        <w:tc>
          <w:tcPr>
            <w:tcW w:w="1809" w:type="dxa"/>
            <w:vMerge/>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□5、参与集中的经营者收购境外企业股权或资产的，该境外企业不在中国境内从事经济活动。</w:t>
            </w:r>
          </w:p>
        </w:tc>
      </w:tr>
      <w:tr w:rsidR="00094095" w:rsidRPr="00202C4C" w:rsidTr="00F400C5">
        <w:trPr>
          <w:trHeight w:val="345"/>
        </w:trPr>
        <w:tc>
          <w:tcPr>
            <w:tcW w:w="1809" w:type="dxa"/>
            <w:vMerge/>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□6、由两个以上的经营者共同控制的合营企业，通过集中被其中一个或一个以上经营者控制。</w:t>
            </w:r>
          </w:p>
        </w:tc>
      </w:tr>
      <w:tr w:rsidR="00094095" w:rsidRPr="00202C4C" w:rsidTr="008B4E49">
        <w:trPr>
          <w:trHeight w:val="2613"/>
        </w:trPr>
        <w:tc>
          <w:tcPr>
            <w:tcW w:w="1809" w:type="dxa"/>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备注</w:t>
            </w:r>
          </w:p>
        </w:tc>
        <w:tc>
          <w:tcPr>
            <w:tcW w:w="6949" w:type="dxa"/>
            <w:gridSpan w:val="2"/>
          </w:tcPr>
          <w:p w:rsidR="006D1FE5" w:rsidRPr="006D1FE5" w:rsidRDefault="006D1FE5" w:rsidP="006D1FE5">
            <w:pPr>
              <w:rPr>
                <w:rFonts w:ascii="仿宋_GB2312" w:eastAsia="仿宋_GB2312" w:hAnsi="Times New Roman" w:cs="Times New Roman"/>
                <w:sz w:val="28"/>
                <w:szCs w:val="28"/>
              </w:rPr>
            </w:pPr>
            <w:r w:rsidRPr="006D1FE5">
              <w:rPr>
                <w:rFonts w:ascii="仿宋_GB2312" w:eastAsia="仿宋_GB2312" w:hAnsi="Times New Roman" w:cs="Times New Roman" w:hint="eastAsia"/>
                <w:sz w:val="28"/>
                <w:szCs w:val="28"/>
              </w:rPr>
              <w:t>本项交易涉及以下相关市场：</w:t>
            </w:r>
          </w:p>
          <w:tbl>
            <w:tblPr>
              <w:tblStyle w:val="a3"/>
              <w:tblW w:w="0" w:type="auto"/>
              <w:tblLook w:val="04A0" w:firstRow="1" w:lastRow="0" w:firstColumn="1" w:lastColumn="0" w:noHBand="0" w:noVBand="1"/>
            </w:tblPr>
            <w:tblGrid>
              <w:gridCol w:w="1679"/>
              <w:gridCol w:w="1894"/>
              <w:gridCol w:w="1465"/>
              <w:gridCol w:w="1680"/>
            </w:tblGrid>
            <w:tr w:rsidR="006D1FE5" w:rsidRPr="006D1FE5" w:rsidTr="006D1FE5">
              <w:tc>
                <w:tcPr>
                  <w:tcW w:w="1679" w:type="dxa"/>
                </w:tcPr>
                <w:p w:rsidR="00CA5049" w:rsidRDefault="006D1FE5" w:rsidP="00CA5049">
                  <w:pPr>
                    <w:spacing w:line="500" w:lineRule="exact"/>
                    <w:jc w:val="center"/>
                    <w:rPr>
                      <w:rFonts w:ascii="仿宋_GB2312" w:eastAsia="仿宋_GB2312" w:hAnsi="Times New Roman" w:cs="Times New Roman"/>
                      <w:sz w:val="28"/>
                      <w:szCs w:val="28"/>
                    </w:rPr>
                  </w:pPr>
                  <w:r w:rsidRPr="00CA5049">
                    <w:rPr>
                      <w:rFonts w:ascii="仿宋_GB2312" w:eastAsia="仿宋_GB2312" w:hAnsi="Times New Roman" w:cs="Times New Roman" w:hint="eastAsia"/>
                      <w:sz w:val="28"/>
                      <w:szCs w:val="28"/>
                    </w:rPr>
                    <w:t>相关商品</w:t>
                  </w:r>
                </w:p>
                <w:p w:rsidR="006D1FE5" w:rsidRPr="00CA5049" w:rsidRDefault="006D1FE5" w:rsidP="00CA5049">
                  <w:pPr>
                    <w:spacing w:line="500" w:lineRule="exact"/>
                    <w:jc w:val="center"/>
                    <w:rPr>
                      <w:rFonts w:ascii="仿宋_GB2312" w:eastAsia="仿宋_GB2312" w:hAnsi="Times New Roman" w:cs="Times New Roman"/>
                      <w:sz w:val="28"/>
                      <w:szCs w:val="28"/>
                    </w:rPr>
                  </w:pPr>
                  <w:r w:rsidRPr="00CA5049">
                    <w:rPr>
                      <w:rFonts w:ascii="仿宋_GB2312" w:eastAsia="仿宋_GB2312" w:hAnsi="Times New Roman" w:cs="Times New Roman" w:hint="eastAsia"/>
                      <w:sz w:val="28"/>
                      <w:szCs w:val="28"/>
                    </w:rPr>
                    <w:t>市场</w:t>
                  </w:r>
                </w:p>
              </w:tc>
              <w:tc>
                <w:tcPr>
                  <w:tcW w:w="1894" w:type="dxa"/>
                </w:tcPr>
                <w:p w:rsidR="00CA5049" w:rsidRDefault="006D1FE5" w:rsidP="00CA5049">
                  <w:pPr>
                    <w:spacing w:line="500" w:lineRule="exact"/>
                    <w:jc w:val="center"/>
                    <w:rPr>
                      <w:rFonts w:ascii="仿宋_GB2312" w:eastAsia="仿宋_GB2312" w:hAnsi="Times New Roman" w:cs="Times New Roman"/>
                      <w:sz w:val="28"/>
                      <w:szCs w:val="28"/>
                    </w:rPr>
                  </w:pPr>
                  <w:r w:rsidRPr="00CA5049">
                    <w:rPr>
                      <w:rFonts w:ascii="仿宋_GB2312" w:eastAsia="仿宋_GB2312" w:hAnsi="Times New Roman" w:cs="Times New Roman" w:hint="eastAsia"/>
                      <w:sz w:val="28"/>
                      <w:szCs w:val="28"/>
                    </w:rPr>
                    <w:t>相关地域</w:t>
                  </w:r>
                </w:p>
                <w:p w:rsidR="006D1FE5" w:rsidRPr="00CA5049" w:rsidRDefault="006D1FE5" w:rsidP="00CA5049">
                  <w:pPr>
                    <w:spacing w:line="500" w:lineRule="exact"/>
                    <w:jc w:val="center"/>
                    <w:rPr>
                      <w:rFonts w:ascii="仿宋_GB2312" w:eastAsia="仿宋_GB2312" w:hAnsi="Times New Roman" w:cs="Times New Roman"/>
                      <w:sz w:val="28"/>
                      <w:szCs w:val="28"/>
                    </w:rPr>
                  </w:pPr>
                  <w:r w:rsidRPr="00CA5049">
                    <w:rPr>
                      <w:rFonts w:ascii="仿宋_GB2312" w:eastAsia="仿宋_GB2312" w:hAnsi="Times New Roman" w:cs="Times New Roman" w:hint="eastAsia"/>
                      <w:sz w:val="28"/>
                      <w:szCs w:val="28"/>
                    </w:rPr>
                    <w:t>市场</w:t>
                  </w:r>
                </w:p>
              </w:tc>
              <w:tc>
                <w:tcPr>
                  <w:tcW w:w="1465" w:type="dxa"/>
                </w:tcPr>
                <w:p w:rsidR="006D1FE5" w:rsidRPr="00CA5049" w:rsidRDefault="0068150E" w:rsidP="00CA5049">
                  <w:pPr>
                    <w:spacing w:line="500" w:lineRule="exact"/>
                    <w:jc w:val="center"/>
                    <w:rPr>
                      <w:rFonts w:ascii="仿宋_GB2312" w:eastAsia="仿宋_GB2312" w:hAnsi="Times New Roman" w:cs="Times New Roman"/>
                      <w:sz w:val="28"/>
                      <w:szCs w:val="28"/>
                    </w:rPr>
                  </w:pPr>
                  <w:r>
                    <w:rPr>
                      <w:rFonts w:ascii="仿宋_GB2312" w:eastAsia="仿宋_GB2312" w:hAnsi="Times New Roman" w:cs="Times New Roman" w:hint="eastAsia"/>
                      <w:sz w:val="28"/>
                      <w:szCs w:val="28"/>
                    </w:rPr>
                    <w:t>得润电子</w:t>
                  </w:r>
                </w:p>
              </w:tc>
              <w:tc>
                <w:tcPr>
                  <w:tcW w:w="1680" w:type="dxa"/>
                </w:tcPr>
                <w:p w:rsidR="006D1FE5" w:rsidRPr="00CA5049" w:rsidRDefault="0068150E" w:rsidP="00CA5049">
                  <w:pPr>
                    <w:spacing w:line="500" w:lineRule="exact"/>
                    <w:jc w:val="center"/>
                    <w:rPr>
                      <w:rFonts w:ascii="仿宋_GB2312" w:eastAsia="仿宋_GB2312" w:hAnsi="Times New Roman" w:cs="Times New Roman"/>
                      <w:sz w:val="28"/>
                      <w:szCs w:val="28"/>
                    </w:rPr>
                  </w:pPr>
                  <w:r>
                    <w:rPr>
                      <w:rFonts w:ascii="仿宋_GB2312" w:eastAsia="仿宋_GB2312" w:hAnsi="Times New Roman" w:cs="Times New Roman" w:hint="eastAsia"/>
                      <w:sz w:val="28"/>
                      <w:szCs w:val="28"/>
                    </w:rPr>
                    <w:t>柳州双飞</w:t>
                  </w:r>
                </w:p>
              </w:tc>
            </w:tr>
            <w:tr w:rsidR="006D1FE5" w:rsidRPr="006D1FE5" w:rsidTr="006D1FE5">
              <w:tc>
                <w:tcPr>
                  <w:tcW w:w="1679" w:type="dxa"/>
                </w:tcPr>
                <w:p w:rsidR="006D1FE5" w:rsidRPr="00CA5049" w:rsidRDefault="0068150E" w:rsidP="00CA5049">
                  <w:pPr>
                    <w:spacing w:line="500" w:lineRule="exact"/>
                    <w:jc w:val="center"/>
                    <w:rPr>
                      <w:rFonts w:ascii="仿宋_GB2312" w:eastAsia="仿宋_GB2312" w:hAnsi="Times New Roman" w:cs="Times New Roman"/>
                      <w:sz w:val="28"/>
                      <w:szCs w:val="28"/>
                    </w:rPr>
                  </w:pPr>
                  <w:r>
                    <w:rPr>
                      <w:rFonts w:ascii="仿宋_GB2312" w:eastAsia="仿宋_GB2312" w:hAnsi="Times New Roman" w:cs="Times New Roman" w:hint="eastAsia"/>
                      <w:sz w:val="28"/>
                      <w:szCs w:val="28"/>
                    </w:rPr>
                    <w:t>汽车线束</w:t>
                  </w:r>
                </w:p>
              </w:tc>
              <w:tc>
                <w:tcPr>
                  <w:tcW w:w="1894" w:type="dxa"/>
                </w:tcPr>
                <w:p w:rsidR="006D1FE5" w:rsidRPr="00CA5049" w:rsidRDefault="00CA5049" w:rsidP="00CA5049">
                  <w:pPr>
                    <w:spacing w:line="500" w:lineRule="exact"/>
                    <w:jc w:val="center"/>
                    <w:rPr>
                      <w:rFonts w:ascii="仿宋_GB2312" w:eastAsia="仿宋_GB2312" w:hAnsi="Times New Roman" w:cs="Times New Roman"/>
                      <w:sz w:val="28"/>
                      <w:szCs w:val="28"/>
                    </w:rPr>
                  </w:pPr>
                  <w:r w:rsidRPr="00CA5049">
                    <w:rPr>
                      <w:rFonts w:ascii="仿宋_GB2312" w:eastAsia="仿宋_GB2312" w:hAnsi="Times New Roman" w:cs="Times New Roman" w:hint="eastAsia"/>
                      <w:sz w:val="28"/>
                      <w:szCs w:val="28"/>
                    </w:rPr>
                    <w:t>全国</w:t>
                  </w:r>
                </w:p>
              </w:tc>
              <w:tc>
                <w:tcPr>
                  <w:tcW w:w="1465" w:type="dxa"/>
                </w:tcPr>
                <w:p w:rsidR="006D1FE5" w:rsidRPr="00CA5049" w:rsidRDefault="0068150E" w:rsidP="00CA5049">
                  <w:pPr>
                    <w:spacing w:line="500" w:lineRule="exact"/>
                    <w:jc w:val="center"/>
                    <w:rPr>
                      <w:rFonts w:ascii="仿宋_GB2312" w:eastAsia="仿宋_GB2312" w:hAnsi="Times New Roman" w:cs="Times New Roman"/>
                      <w:sz w:val="28"/>
                      <w:szCs w:val="28"/>
                    </w:rPr>
                  </w:pPr>
                  <w:r>
                    <w:rPr>
                      <w:rFonts w:ascii="仿宋_GB2312" w:eastAsia="仿宋_GB2312" w:hAnsi="Times New Roman" w:cs="Times New Roman"/>
                      <w:sz w:val="28"/>
                      <w:szCs w:val="28"/>
                    </w:rPr>
                    <w:t xml:space="preserve"> </w:t>
                  </w:r>
                  <w:r w:rsidR="0040702E">
                    <w:rPr>
                      <w:rFonts w:ascii="仿宋_GB2312" w:eastAsia="仿宋_GB2312" w:hAnsi="Times New Roman" w:cs="Times New Roman"/>
                      <w:sz w:val="28"/>
                      <w:szCs w:val="28"/>
                    </w:rPr>
                    <w:t>[0-5]</w:t>
                  </w:r>
                  <w:r w:rsidR="008B4E49">
                    <w:rPr>
                      <w:rFonts w:ascii="仿宋_GB2312" w:eastAsia="仿宋_GB2312" w:hAnsi="Times New Roman" w:cs="Times New Roman" w:hint="eastAsia"/>
                      <w:sz w:val="28"/>
                      <w:szCs w:val="28"/>
                    </w:rPr>
                    <w:t>%</w:t>
                  </w:r>
                </w:p>
              </w:tc>
              <w:tc>
                <w:tcPr>
                  <w:tcW w:w="1680" w:type="dxa"/>
                </w:tcPr>
                <w:p w:rsidR="006D1FE5" w:rsidRPr="00CA5049" w:rsidRDefault="0040702E" w:rsidP="00CA5049">
                  <w:pPr>
                    <w:spacing w:line="500" w:lineRule="exact"/>
                    <w:jc w:val="center"/>
                    <w:rPr>
                      <w:rFonts w:ascii="仿宋_GB2312" w:eastAsia="仿宋_GB2312" w:hAnsi="Times New Roman" w:cs="Times New Roman"/>
                      <w:sz w:val="28"/>
                      <w:szCs w:val="28"/>
                    </w:rPr>
                  </w:pPr>
                  <w:r>
                    <w:rPr>
                      <w:rFonts w:ascii="仿宋_GB2312" w:eastAsia="仿宋_GB2312" w:hAnsi="Times New Roman" w:cs="Times New Roman"/>
                      <w:sz w:val="28"/>
                      <w:szCs w:val="28"/>
                    </w:rPr>
                    <w:t>[0-5]</w:t>
                  </w:r>
                  <w:r w:rsidR="008B4E49">
                    <w:rPr>
                      <w:rFonts w:ascii="仿宋_GB2312" w:eastAsia="仿宋_GB2312" w:hAnsi="Times New Roman" w:cs="Times New Roman" w:hint="eastAsia"/>
                      <w:sz w:val="28"/>
                      <w:szCs w:val="28"/>
                    </w:rPr>
                    <w:t>%</w:t>
                  </w:r>
                  <w:r w:rsidR="0068150E">
                    <w:rPr>
                      <w:rFonts w:ascii="仿宋_GB2312" w:eastAsia="仿宋_GB2312" w:hAnsi="Times New Roman" w:cs="Times New Roman"/>
                      <w:sz w:val="28"/>
                      <w:szCs w:val="28"/>
                    </w:rPr>
                    <w:t xml:space="preserve"> </w:t>
                  </w:r>
                </w:p>
              </w:tc>
            </w:tr>
          </w:tbl>
          <w:p w:rsidR="00FE264C" w:rsidRPr="00FE264C" w:rsidRDefault="00FE264C" w:rsidP="006D1FE5">
            <w:pPr>
              <w:spacing w:line="500" w:lineRule="exact"/>
              <w:rPr>
                <w:rFonts w:ascii="仿宋_GB2312" w:eastAsia="仿宋_GB2312" w:hAnsi="Times New Roman" w:cs="Times New Roman"/>
                <w:sz w:val="28"/>
                <w:szCs w:val="28"/>
              </w:rPr>
            </w:pPr>
          </w:p>
        </w:tc>
      </w:tr>
    </w:tbl>
    <w:p w:rsidR="00094095" w:rsidRPr="00202C4C" w:rsidRDefault="00094095" w:rsidP="00094095">
      <w:pPr>
        <w:spacing w:line="500" w:lineRule="exact"/>
        <w:rPr>
          <w:rFonts w:ascii="仿宋_GB2312" w:eastAsia="仿宋_GB2312" w:hAnsi="Times New Roman" w:cs="Times New Roman"/>
          <w:sz w:val="28"/>
          <w:szCs w:val="28"/>
        </w:rPr>
      </w:pPr>
    </w:p>
    <w:p w:rsidR="00F87C1F" w:rsidRDefault="00F87C1F"/>
    <w:sectPr w:rsidR="00F87C1F" w:rsidSect="00A215E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051E" w:rsidRDefault="00C8051E" w:rsidP="00094095">
      <w:r>
        <w:separator/>
      </w:r>
    </w:p>
  </w:endnote>
  <w:endnote w:type="continuationSeparator" w:id="0">
    <w:p w:rsidR="00C8051E" w:rsidRDefault="00C8051E" w:rsidP="00094095">
      <w:r>
        <w:continuationSeparator/>
      </w:r>
    </w:p>
  </w:endnote>
  <w:endnote w:id="1">
    <w:p w:rsidR="00094095" w:rsidRPr="00202C4C" w:rsidRDefault="009F4E7F" w:rsidP="00094095">
      <w:pPr>
        <w:pStyle w:val="a4"/>
        <w:rPr>
          <w:sz w:val="24"/>
          <w:szCs w:val="24"/>
        </w:rPr>
      </w:pPr>
      <w:r>
        <w:rPr>
          <w:rStyle w:val="a6"/>
          <w:rFonts w:ascii="仿宋_GB2312" w:eastAsia="仿宋_GB2312" w:hAnsi="Times New Roman"/>
          <w:sz w:val="28"/>
          <w:szCs w:val="28"/>
        </w:rPr>
        <w:endnoteRef/>
      </w:r>
      <w:r>
        <w:rPr>
          <w:rFonts w:hint="eastAsia"/>
        </w:rPr>
        <w:t>申报方申请简易案件的理由是基于市场份额时，须在备注中说明界定的相关商品市场和相关地域市场（无须阐述界定理由），以及相关市场份额；市场份额可以区间形式提供，区间幅度不应超过</w:t>
      </w:r>
      <w:r>
        <w:t>5%</w:t>
      </w:r>
      <w:r>
        <w:rPr>
          <w:rFonts w:hint="eastAsia"/>
        </w:rPr>
        <w:t>。</w:t>
      </w:r>
      <w:r>
        <w:t>1-3</w:t>
      </w:r>
      <w:r>
        <w:rPr>
          <w:rFonts w:hint="eastAsia"/>
        </w:rPr>
        <w:t>项可以多选，也可单选；没有勾选的，视为集中不涉及该类型交易。</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051E" w:rsidRDefault="00C8051E" w:rsidP="00094095">
      <w:r>
        <w:separator/>
      </w:r>
    </w:p>
  </w:footnote>
  <w:footnote w:type="continuationSeparator" w:id="0">
    <w:p w:rsidR="00C8051E" w:rsidRDefault="00C8051E"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B07C40"/>
    <w:multiLevelType w:val="hybridMultilevel"/>
    <w:tmpl w:val="5E86CFB8"/>
    <w:lvl w:ilvl="0" w:tplc="CA221906">
      <w:start w:val="1"/>
      <w:numFmt w:val="lowerLetter"/>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26723"/>
    <w:rsid w:val="00034D53"/>
    <w:rsid w:val="00036A2B"/>
    <w:rsid w:val="0004751A"/>
    <w:rsid w:val="00066E79"/>
    <w:rsid w:val="00094095"/>
    <w:rsid w:val="000B7B33"/>
    <w:rsid w:val="000C0136"/>
    <w:rsid w:val="000C1376"/>
    <w:rsid w:val="001045D9"/>
    <w:rsid w:val="00197923"/>
    <w:rsid w:val="001B4A74"/>
    <w:rsid w:val="001C3DE1"/>
    <w:rsid w:val="001F3199"/>
    <w:rsid w:val="00224B89"/>
    <w:rsid w:val="00260AE0"/>
    <w:rsid w:val="002863D2"/>
    <w:rsid w:val="002B4634"/>
    <w:rsid w:val="002C68E0"/>
    <w:rsid w:val="003334B5"/>
    <w:rsid w:val="00365419"/>
    <w:rsid w:val="00385055"/>
    <w:rsid w:val="0039339C"/>
    <w:rsid w:val="0040702E"/>
    <w:rsid w:val="00410748"/>
    <w:rsid w:val="0042527C"/>
    <w:rsid w:val="00462174"/>
    <w:rsid w:val="00494DCB"/>
    <w:rsid w:val="004B3D00"/>
    <w:rsid w:val="004B72F9"/>
    <w:rsid w:val="004C28B7"/>
    <w:rsid w:val="004F1893"/>
    <w:rsid w:val="00550B70"/>
    <w:rsid w:val="00606243"/>
    <w:rsid w:val="00647A56"/>
    <w:rsid w:val="0068150E"/>
    <w:rsid w:val="006C480D"/>
    <w:rsid w:val="006D1FE5"/>
    <w:rsid w:val="006D432D"/>
    <w:rsid w:val="006D4EC7"/>
    <w:rsid w:val="007B17CD"/>
    <w:rsid w:val="00812602"/>
    <w:rsid w:val="008639C0"/>
    <w:rsid w:val="0087090D"/>
    <w:rsid w:val="008A2D65"/>
    <w:rsid w:val="008B4E49"/>
    <w:rsid w:val="008D1935"/>
    <w:rsid w:val="008D291F"/>
    <w:rsid w:val="009336E1"/>
    <w:rsid w:val="00965A5D"/>
    <w:rsid w:val="009E1783"/>
    <w:rsid w:val="009F4E7F"/>
    <w:rsid w:val="00A215E6"/>
    <w:rsid w:val="00A358CD"/>
    <w:rsid w:val="00A5092A"/>
    <w:rsid w:val="00A61BAA"/>
    <w:rsid w:val="00A77F40"/>
    <w:rsid w:val="00B7710B"/>
    <w:rsid w:val="00B96AB3"/>
    <w:rsid w:val="00BD266B"/>
    <w:rsid w:val="00BE004E"/>
    <w:rsid w:val="00C12965"/>
    <w:rsid w:val="00C8051E"/>
    <w:rsid w:val="00C82EE5"/>
    <w:rsid w:val="00CA5049"/>
    <w:rsid w:val="00CA787C"/>
    <w:rsid w:val="00CD18CD"/>
    <w:rsid w:val="00CF690C"/>
    <w:rsid w:val="00D52170"/>
    <w:rsid w:val="00D971FB"/>
    <w:rsid w:val="00DF0386"/>
    <w:rsid w:val="00E504F3"/>
    <w:rsid w:val="00E64245"/>
    <w:rsid w:val="00E84E18"/>
    <w:rsid w:val="00EA579F"/>
    <w:rsid w:val="00ED4C86"/>
    <w:rsid w:val="00F87C1F"/>
    <w:rsid w:val="00FE264C"/>
    <w:rsid w:val="00FE75BD"/>
    <w:rsid w:val="00FF60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55E8999-B094-49B5-A3FA-FE59899A0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basedOn w:val="a0"/>
    <w:uiPriority w:val="99"/>
    <w:semiHidden/>
    <w:unhideWhenUsed/>
    <w:rsid w:val="00094095"/>
    <w:rPr>
      <w:vertAlign w:val="superscript"/>
    </w:rPr>
  </w:style>
  <w:style w:type="paragraph" w:styleId="a7">
    <w:name w:val="header"/>
    <w:basedOn w:val="a"/>
    <w:link w:val="a8"/>
    <w:uiPriority w:val="99"/>
    <w:unhideWhenUsed/>
    <w:rsid w:val="00197923"/>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197923"/>
    <w:rPr>
      <w:sz w:val="18"/>
      <w:szCs w:val="18"/>
    </w:rPr>
  </w:style>
  <w:style w:type="paragraph" w:styleId="a9">
    <w:name w:val="footer"/>
    <w:basedOn w:val="a"/>
    <w:link w:val="aa"/>
    <w:uiPriority w:val="99"/>
    <w:unhideWhenUsed/>
    <w:rsid w:val="00197923"/>
    <w:pPr>
      <w:tabs>
        <w:tab w:val="center" w:pos="4153"/>
        <w:tab w:val="right" w:pos="8306"/>
      </w:tabs>
      <w:snapToGrid w:val="0"/>
      <w:jc w:val="left"/>
    </w:pPr>
    <w:rPr>
      <w:sz w:val="18"/>
      <w:szCs w:val="18"/>
    </w:rPr>
  </w:style>
  <w:style w:type="character" w:customStyle="1" w:styleId="aa">
    <w:name w:val="页脚 字符"/>
    <w:basedOn w:val="a0"/>
    <w:link w:val="a9"/>
    <w:uiPriority w:val="99"/>
    <w:rsid w:val="00197923"/>
    <w:rPr>
      <w:sz w:val="18"/>
      <w:szCs w:val="18"/>
    </w:rPr>
  </w:style>
  <w:style w:type="paragraph" w:styleId="ab">
    <w:name w:val="Balloon Text"/>
    <w:basedOn w:val="a"/>
    <w:link w:val="ac"/>
    <w:uiPriority w:val="99"/>
    <w:semiHidden/>
    <w:unhideWhenUsed/>
    <w:rsid w:val="00B7710B"/>
    <w:rPr>
      <w:sz w:val="18"/>
      <w:szCs w:val="18"/>
    </w:rPr>
  </w:style>
  <w:style w:type="character" w:customStyle="1" w:styleId="ac">
    <w:name w:val="批注框文本 字符"/>
    <w:basedOn w:val="a0"/>
    <w:link w:val="ab"/>
    <w:uiPriority w:val="99"/>
    <w:semiHidden/>
    <w:rsid w:val="00B7710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24697">
      <w:bodyDiv w:val="1"/>
      <w:marLeft w:val="0"/>
      <w:marRight w:val="0"/>
      <w:marTop w:val="0"/>
      <w:marBottom w:val="0"/>
      <w:divBdr>
        <w:top w:val="none" w:sz="0" w:space="0" w:color="auto"/>
        <w:left w:val="none" w:sz="0" w:space="0" w:color="auto"/>
        <w:bottom w:val="none" w:sz="0" w:space="0" w:color="auto"/>
        <w:right w:val="none" w:sz="0" w:space="0" w:color="auto"/>
      </w:divBdr>
    </w:div>
    <w:div w:id="626087222">
      <w:bodyDiv w:val="1"/>
      <w:marLeft w:val="0"/>
      <w:marRight w:val="0"/>
      <w:marTop w:val="0"/>
      <w:marBottom w:val="0"/>
      <w:divBdr>
        <w:top w:val="none" w:sz="0" w:space="0" w:color="auto"/>
        <w:left w:val="none" w:sz="0" w:space="0" w:color="auto"/>
        <w:bottom w:val="none" w:sz="0" w:space="0" w:color="auto"/>
        <w:right w:val="none" w:sz="0" w:space="0" w:color="auto"/>
      </w:divBdr>
    </w:div>
    <w:div w:id="703991595">
      <w:bodyDiv w:val="1"/>
      <w:marLeft w:val="0"/>
      <w:marRight w:val="0"/>
      <w:marTop w:val="0"/>
      <w:marBottom w:val="0"/>
      <w:divBdr>
        <w:top w:val="none" w:sz="0" w:space="0" w:color="auto"/>
        <w:left w:val="none" w:sz="0" w:space="0" w:color="auto"/>
        <w:bottom w:val="none" w:sz="0" w:space="0" w:color="auto"/>
        <w:right w:val="none" w:sz="0" w:space="0" w:color="auto"/>
      </w:divBdr>
    </w:div>
    <w:div w:id="1303194108">
      <w:bodyDiv w:val="1"/>
      <w:marLeft w:val="0"/>
      <w:marRight w:val="0"/>
      <w:marTop w:val="0"/>
      <w:marBottom w:val="0"/>
      <w:divBdr>
        <w:top w:val="none" w:sz="0" w:space="0" w:color="auto"/>
        <w:left w:val="none" w:sz="0" w:space="0" w:color="auto"/>
        <w:bottom w:val="none" w:sz="0" w:space="0" w:color="auto"/>
        <w:right w:val="none" w:sz="0" w:space="0" w:color="auto"/>
      </w:divBdr>
    </w:div>
    <w:div w:id="1702633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EC00254-A2CF-4ED0-A6FA-DDB85F4B4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109</Words>
  <Characters>626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betty bai</cp:lastModifiedBy>
  <cp:revision>4</cp:revision>
  <dcterms:created xsi:type="dcterms:W3CDTF">2016-12-28T05:40:00Z</dcterms:created>
  <dcterms:modified xsi:type="dcterms:W3CDTF">2016-12-28T10:30:00Z</dcterms:modified>
</cp:coreProperties>
</file>