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692E" w:rsidRDefault="00CA01F3">
      <w:pPr>
        <w:spacing w:line="440" w:lineRule="exact"/>
        <w:ind w:firstLineChars="302" w:firstLine="728"/>
        <w:jc w:val="center"/>
        <w:rPr>
          <w:rFonts w:eastAsia="宋体"/>
          <w:b/>
          <w:sz w:val="24"/>
          <w:szCs w:val="28"/>
        </w:rPr>
      </w:pPr>
      <w:r>
        <w:rPr>
          <w:rFonts w:eastAsia="宋体" w:hint="eastAsia"/>
          <w:b/>
          <w:sz w:val="24"/>
          <w:szCs w:val="28"/>
        </w:rPr>
        <w:t>经营者集中简易案件公示表</w:t>
      </w:r>
    </w:p>
    <w:p w:rsidR="0089692E" w:rsidRDefault="0089692E">
      <w:pPr>
        <w:spacing w:line="440" w:lineRule="exact"/>
        <w:ind w:firstLineChars="302" w:firstLine="725"/>
        <w:jc w:val="center"/>
        <w:rPr>
          <w:rFonts w:eastAsia="宋体"/>
          <w:sz w:val="24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73"/>
        <w:gridCol w:w="1654"/>
        <w:gridCol w:w="5531"/>
      </w:tblGrid>
      <w:tr w:rsidR="0089692E" w:rsidRPr="00A45707">
        <w:tc>
          <w:tcPr>
            <w:tcW w:w="1573" w:type="dxa"/>
            <w:shd w:val="clear" w:color="auto" w:fill="D9D9D9"/>
          </w:tcPr>
          <w:p w:rsidR="0089692E" w:rsidRPr="00A45707" w:rsidRDefault="00CA01F3">
            <w:pPr>
              <w:rPr>
                <w:rFonts w:eastAsia="宋体"/>
                <w:b/>
                <w:sz w:val="24"/>
                <w:szCs w:val="24"/>
              </w:rPr>
            </w:pPr>
            <w:r w:rsidRPr="00A45707">
              <w:rPr>
                <w:rFonts w:eastAsia="宋体"/>
                <w:sz w:val="24"/>
                <w:szCs w:val="24"/>
                <w:lang w:val="en-GB"/>
              </w:rPr>
              <w:t>案件名称</w:t>
            </w:r>
          </w:p>
        </w:tc>
        <w:tc>
          <w:tcPr>
            <w:tcW w:w="7185" w:type="dxa"/>
            <w:gridSpan w:val="2"/>
            <w:vAlign w:val="center"/>
          </w:tcPr>
          <w:p w:rsidR="0089692E" w:rsidRPr="00A45707" w:rsidRDefault="00EE1ECB">
            <w:pPr>
              <w:rPr>
                <w:rFonts w:eastAsia="宋体"/>
                <w:sz w:val="24"/>
                <w:szCs w:val="24"/>
              </w:rPr>
            </w:pPr>
            <w:r w:rsidRPr="00A45707">
              <w:rPr>
                <w:sz w:val="24"/>
                <w:szCs w:val="24"/>
              </w:rPr>
              <w:t>罗克韦尔柯林斯公司</w:t>
            </w:r>
            <w:r w:rsidRPr="00A45707">
              <w:rPr>
                <w:kern w:val="0"/>
                <w:sz w:val="24"/>
                <w:szCs w:val="24"/>
              </w:rPr>
              <w:t>收购</w:t>
            </w:r>
            <w:proofErr w:type="gramStart"/>
            <w:r w:rsidRPr="00A45707">
              <w:rPr>
                <w:sz w:val="24"/>
                <w:szCs w:val="24"/>
              </w:rPr>
              <w:t>邦</w:t>
            </w:r>
            <w:proofErr w:type="gramEnd"/>
            <w:r w:rsidRPr="00A45707">
              <w:rPr>
                <w:sz w:val="24"/>
                <w:szCs w:val="24"/>
              </w:rPr>
              <w:t>翼航空公司</w:t>
            </w:r>
            <w:r w:rsidRPr="00A45707">
              <w:rPr>
                <w:kern w:val="0"/>
                <w:sz w:val="24"/>
                <w:szCs w:val="24"/>
              </w:rPr>
              <w:t>股权案</w:t>
            </w:r>
          </w:p>
        </w:tc>
      </w:tr>
      <w:tr w:rsidR="0089692E" w:rsidRPr="00A45707">
        <w:trPr>
          <w:trHeight w:val="993"/>
        </w:trPr>
        <w:tc>
          <w:tcPr>
            <w:tcW w:w="1573" w:type="dxa"/>
            <w:shd w:val="clear" w:color="auto" w:fill="D9D9D9"/>
          </w:tcPr>
          <w:p w:rsidR="0089692E" w:rsidRPr="00A45707" w:rsidRDefault="00CA01F3">
            <w:pPr>
              <w:rPr>
                <w:rFonts w:eastAsia="宋体"/>
                <w:b/>
                <w:sz w:val="24"/>
                <w:szCs w:val="24"/>
              </w:rPr>
            </w:pPr>
            <w:r w:rsidRPr="00A45707">
              <w:rPr>
                <w:rFonts w:eastAsia="宋体"/>
                <w:sz w:val="24"/>
                <w:szCs w:val="24"/>
                <w:lang w:val="en-GB"/>
              </w:rPr>
              <w:t>交易概况（限</w:t>
            </w:r>
            <w:r w:rsidRPr="00A45707">
              <w:rPr>
                <w:rFonts w:eastAsia="宋体"/>
                <w:sz w:val="24"/>
                <w:szCs w:val="24"/>
                <w:lang w:val="en-GB"/>
              </w:rPr>
              <w:t>200</w:t>
            </w:r>
            <w:r w:rsidRPr="00A45707">
              <w:rPr>
                <w:rFonts w:eastAsia="宋体"/>
                <w:sz w:val="24"/>
                <w:szCs w:val="24"/>
                <w:lang w:val="en-GB"/>
              </w:rPr>
              <w:t>字内）</w:t>
            </w:r>
          </w:p>
        </w:tc>
        <w:tc>
          <w:tcPr>
            <w:tcW w:w="7185" w:type="dxa"/>
            <w:gridSpan w:val="2"/>
          </w:tcPr>
          <w:p w:rsidR="0089692E" w:rsidRPr="00A45707" w:rsidRDefault="00EE1ECB" w:rsidP="00E95DD5">
            <w:pPr>
              <w:widowControl/>
              <w:jc w:val="left"/>
              <w:rPr>
                <w:rFonts w:eastAsia="宋体" w:cstheme="majorBidi"/>
                <w:sz w:val="24"/>
                <w:szCs w:val="24"/>
              </w:rPr>
            </w:pPr>
            <w:r w:rsidRPr="00A45707">
              <w:rPr>
                <w:sz w:val="24"/>
                <w:szCs w:val="24"/>
              </w:rPr>
              <w:t>罗克韦尔柯林斯公司</w:t>
            </w:r>
            <w:r w:rsidRPr="00A45707">
              <w:rPr>
                <w:rFonts w:hint="eastAsia"/>
                <w:sz w:val="24"/>
                <w:szCs w:val="24"/>
              </w:rPr>
              <w:t>（“</w:t>
            </w:r>
            <w:r w:rsidRPr="00A45707">
              <w:rPr>
                <w:sz w:val="24"/>
                <w:szCs w:val="24"/>
              </w:rPr>
              <w:t>罗克韦尔</w:t>
            </w:r>
            <w:r w:rsidR="00BC10BC" w:rsidRPr="00A45707">
              <w:rPr>
                <w:sz w:val="24"/>
                <w:szCs w:val="24"/>
              </w:rPr>
              <w:t>柯林斯</w:t>
            </w:r>
            <w:r w:rsidRPr="00A45707">
              <w:rPr>
                <w:rFonts w:hint="eastAsia"/>
                <w:sz w:val="24"/>
                <w:szCs w:val="24"/>
              </w:rPr>
              <w:t>”）</w:t>
            </w:r>
            <w:r w:rsidRPr="00A45707">
              <w:rPr>
                <w:sz w:val="24"/>
                <w:szCs w:val="24"/>
              </w:rPr>
              <w:t>的新设子公司</w:t>
            </w:r>
            <w:r w:rsidRPr="00A45707">
              <w:rPr>
                <w:sz w:val="24"/>
                <w:szCs w:val="24"/>
              </w:rPr>
              <w:t>—</w:t>
            </w:r>
            <w:r w:rsidRPr="00A45707">
              <w:rPr>
                <w:sz w:val="24"/>
                <w:szCs w:val="24"/>
              </w:rPr>
              <w:t>库</w:t>
            </w:r>
            <w:proofErr w:type="gramStart"/>
            <w:r w:rsidRPr="00A45707">
              <w:rPr>
                <w:sz w:val="24"/>
                <w:szCs w:val="24"/>
              </w:rPr>
              <w:t>特</w:t>
            </w:r>
            <w:proofErr w:type="gramEnd"/>
            <w:r w:rsidRPr="00A45707">
              <w:rPr>
                <w:sz w:val="24"/>
                <w:szCs w:val="24"/>
              </w:rPr>
              <w:t>贝合并子公司将合并入</w:t>
            </w:r>
            <w:proofErr w:type="gramStart"/>
            <w:r w:rsidRPr="00A45707">
              <w:rPr>
                <w:sz w:val="24"/>
                <w:szCs w:val="24"/>
              </w:rPr>
              <w:t>邦</w:t>
            </w:r>
            <w:proofErr w:type="gramEnd"/>
            <w:r w:rsidRPr="00A45707">
              <w:rPr>
                <w:sz w:val="24"/>
                <w:szCs w:val="24"/>
              </w:rPr>
              <w:t>翼航空公司</w:t>
            </w:r>
            <w:r w:rsidRPr="00A45707">
              <w:rPr>
                <w:rFonts w:hint="eastAsia"/>
                <w:sz w:val="24"/>
                <w:szCs w:val="24"/>
              </w:rPr>
              <w:t>（“邦翼航空”）</w:t>
            </w:r>
            <w:r w:rsidRPr="00A45707">
              <w:rPr>
                <w:sz w:val="24"/>
                <w:szCs w:val="24"/>
              </w:rPr>
              <w:t>，</w:t>
            </w:r>
            <w:proofErr w:type="gramStart"/>
            <w:r w:rsidRPr="00A45707">
              <w:rPr>
                <w:sz w:val="24"/>
                <w:szCs w:val="24"/>
              </w:rPr>
              <w:t>邦</w:t>
            </w:r>
            <w:proofErr w:type="gramEnd"/>
            <w:r w:rsidRPr="00A45707">
              <w:rPr>
                <w:sz w:val="24"/>
                <w:szCs w:val="24"/>
              </w:rPr>
              <w:t>翼航空将作为合并后的存续公司，成为罗克韦尔</w:t>
            </w:r>
            <w:r w:rsidR="00BC10BC" w:rsidRPr="00A45707">
              <w:rPr>
                <w:sz w:val="24"/>
                <w:szCs w:val="24"/>
              </w:rPr>
              <w:t>柯林斯</w:t>
            </w:r>
            <w:r w:rsidRPr="00A45707">
              <w:rPr>
                <w:sz w:val="24"/>
                <w:szCs w:val="24"/>
              </w:rPr>
              <w:t>的子公司。拟议交易完成后，罗克韦尔</w:t>
            </w:r>
            <w:r w:rsidR="00BC10BC" w:rsidRPr="00A45707">
              <w:rPr>
                <w:sz w:val="24"/>
                <w:szCs w:val="24"/>
              </w:rPr>
              <w:t>柯林斯</w:t>
            </w:r>
            <w:r w:rsidRPr="00A45707">
              <w:rPr>
                <w:sz w:val="24"/>
                <w:szCs w:val="24"/>
              </w:rPr>
              <w:t>将拥有</w:t>
            </w:r>
            <w:proofErr w:type="gramStart"/>
            <w:r w:rsidRPr="00A45707">
              <w:rPr>
                <w:sz w:val="24"/>
                <w:szCs w:val="24"/>
              </w:rPr>
              <w:t>邦</w:t>
            </w:r>
            <w:proofErr w:type="gramEnd"/>
            <w:r w:rsidRPr="00A45707">
              <w:rPr>
                <w:sz w:val="24"/>
                <w:szCs w:val="24"/>
              </w:rPr>
              <w:t>翼航空</w:t>
            </w:r>
            <w:r w:rsidRPr="00A45707">
              <w:rPr>
                <w:sz w:val="24"/>
                <w:szCs w:val="24"/>
              </w:rPr>
              <w:t>100%</w:t>
            </w:r>
            <w:r w:rsidRPr="00A45707">
              <w:rPr>
                <w:sz w:val="24"/>
                <w:szCs w:val="24"/>
              </w:rPr>
              <w:t>的普通股并将获得</w:t>
            </w:r>
            <w:proofErr w:type="gramStart"/>
            <w:r w:rsidRPr="00A45707">
              <w:rPr>
                <w:sz w:val="24"/>
                <w:szCs w:val="24"/>
              </w:rPr>
              <w:t>邦</w:t>
            </w:r>
            <w:proofErr w:type="gramEnd"/>
            <w:r w:rsidRPr="00A45707">
              <w:rPr>
                <w:sz w:val="24"/>
                <w:szCs w:val="24"/>
              </w:rPr>
              <w:t>翼航空的单独控制权。</w:t>
            </w:r>
          </w:p>
        </w:tc>
      </w:tr>
      <w:tr w:rsidR="0089692E" w:rsidRPr="00A45707" w:rsidTr="00EE1ECB">
        <w:trPr>
          <w:trHeight w:val="468"/>
        </w:trPr>
        <w:tc>
          <w:tcPr>
            <w:tcW w:w="1573" w:type="dxa"/>
            <w:vMerge w:val="restart"/>
            <w:shd w:val="clear" w:color="auto" w:fill="D9D9D9"/>
          </w:tcPr>
          <w:p w:rsidR="0089692E" w:rsidRPr="00A45707" w:rsidRDefault="00CA01F3">
            <w:pPr>
              <w:rPr>
                <w:rFonts w:eastAsia="宋体"/>
                <w:b/>
                <w:sz w:val="24"/>
                <w:szCs w:val="24"/>
              </w:rPr>
            </w:pPr>
            <w:r w:rsidRPr="00A45707">
              <w:rPr>
                <w:rFonts w:eastAsia="宋体"/>
                <w:sz w:val="24"/>
                <w:szCs w:val="24"/>
                <w:lang w:val="en-GB"/>
              </w:rPr>
              <w:t>参与集中的经营者简介</w:t>
            </w:r>
          </w:p>
          <w:p w:rsidR="0089692E" w:rsidRPr="00A45707" w:rsidRDefault="0089692E">
            <w:pPr>
              <w:rPr>
                <w:rFonts w:eastAsia="宋体"/>
                <w:b/>
                <w:sz w:val="24"/>
                <w:szCs w:val="24"/>
              </w:rPr>
            </w:pPr>
          </w:p>
        </w:tc>
        <w:tc>
          <w:tcPr>
            <w:tcW w:w="1654" w:type="dxa"/>
          </w:tcPr>
          <w:p w:rsidR="0089692E" w:rsidRPr="00A45707" w:rsidRDefault="00EE1ECB">
            <w:pPr>
              <w:pStyle w:val="10"/>
              <w:numPr>
                <w:ilvl w:val="0"/>
                <w:numId w:val="1"/>
              </w:numPr>
              <w:ind w:leftChars="0"/>
              <w:rPr>
                <w:rFonts w:eastAsia="宋体"/>
                <w:sz w:val="24"/>
                <w:szCs w:val="24"/>
              </w:rPr>
            </w:pPr>
            <w:r w:rsidRPr="00A45707">
              <w:rPr>
                <w:sz w:val="24"/>
                <w:szCs w:val="24"/>
              </w:rPr>
              <w:t>罗克韦尔</w:t>
            </w:r>
            <w:r w:rsidR="00BC10BC" w:rsidRPr="00A45707">
              <w:rPr>
                <w:sz w:val="24"/>
                <w:szCs w:val="24"/>
              </w:rPr>
              <w:t>柯林斯</w:t>
            </w:r>
          </w:p>
        </w:tc>
        <w:tc>
          <w:tcPr>
            <w:tcW w:w="5531" w:type="dxa"/>
          </w:tcPr>
          <w:p w:rsidR="0089692E" w:rsidRPr="00A45707" w:rsidRDefault="00EE1ECB">
            <w:pPr>
              <w:pStyle w:val="AMLNotifyCont3"/>
              <w:jc w:val="left"/>
              <w:rPr>
                <w:rFonts w:eastAsia="宋体"/>
                <w:szCs w:val="24"/>
                <w:lang w:eastAsia="zh-CN"/>
              </w:rPr>
            </w:pPr>
            <w:r w:rsidRPr="00A45707">
              <w:rPr>
                <w:rFonts w:eastAsiaTheme="minorEastAsia"/>
                <w:kern w:val="2"/>
                <w:szCs w:val="24"/>
                <w:lang w:eastAsia="zh-CN"/>
              </w:rPr>
              <w:t>罗克韦尔</w:t>
            </w:r>
            <w:r w:rsidR="00BC10BC" w:rsidRPr="00BC10BC">
              <w:rPr>
                <w:rFonts w:eastAsiaTheme="minorEastAsia"/>
                <w:kern w:val="2"/>
                <w:szCs w:val="24"/>
                <w:lang w:eastAsia="zh-CN"/>
              </w:rPr>
              <w:t>柯林斯</w:t>
            </w:r>
            <w:r w:rsidRPr="00A45707">
              <w:rPr>
                <w:rFonts w:eastAsiaTheme="minorEastAsia"/>
                <w:kern w:val="2"/>
                <w:szCs w:val="24"/>
                <w:lang w:eastAsia="zh-CN"/>
              </w:rPr>
              <w:t>是商用和军用领域的航空和集成解决方案的制造商和供应商，其主要产品和服务包括驾驶舱航空电子设备、客舱电子设备、任务通讯、模拟训练和信息管理。</w:t>
            </w:r>
          </w:p>
        </w:tc>
      </w:tr>
      <w:tr w:rsidR="0089692E" w:rsidRPr="00A45707" w:rsidTr="00EE1ECB">
        <w:trPr>
          <w:trHeight w:val="404"/>
        </w:trPr>
        <w:tc>
          <w:tcPr>
            <w:tcW w:w="1573" w:type="dxa"/>
            <w:vMerge/>
            <w:shd w:val="clear" w:color="auto" w:fill="D9D9D9"/>
          </w:tcPr>
          <w:p w:rsidR="0089692E" w:rsidRPr="00A45707" w:rsidRDefault="0089692E">
            <w:pPr>
              <w:rPr>
                <w:rFonts w:eastAsia="宋体"/>
                <w:b/>
                <w:sz w:val="24"/>
                <w:szCs w:val="24"/>
              </w:rPr>
            </w:pPr>
          </w:p>
        </w:tc>
        <w:tc>
          <w:tcPr>
            <w:tcW w:w="1654" w:type="dxa"/>
          </w:tcPr>
          <w:p w:rsidR="0089692E" w:rsidRPr="00A45707" w:rsidRDefault="00EE1ECB">
            <w:pPr>
              <w:pStyle w:val="10"/>
              <w:numPr>
                <w:ilvl w:val="0"/>
                <w:numId w:val="1"/>
              </w:numPr>
              <w:ind w:leftChars="0"/>
              <w:rPr>
                <w:rFonts w:eastAsia="宋体"/>
                <w:sz w:val="24"/>
                <w:szCs w:val="24"/>
              </w:rPr>
            </w:pPr>
            <w:proofErr w:type="gramStart"/>
            <w:r w:rsidRPr="00A45707">
              <w:rPr>
                <w:sz w:val="24"/>
                <w:szCs w:val="24"/>
              </w:rPr>
              <w:t>邦</w:t>
            </w:r>
            <w:proofErr w:type="gramEnd"/>
            <w:r w:rsidRPr="00A45707">
              <w:rPr>
                <w:sz w:val="24"/>
                <w:szCs w:val="24"/>
              </w:rPr>
              <w:t>翼航空</w:t>
            </w:r>
          </w:p>
        </w:tc>
        <w:tc>
          <w:tcPr>
            <w:tcW w:w="5531" w:type="dxa"/>
          </w:tcPr>
          <w:p w:rsidR="0089692E" w:rsidRPr="00A45707" w:rsidRDefault="00EE1ECB" w:rsidP="00D82B1D">
            <w:pPr>
              <w:widowControl/>
              <w:snapToGrid w:val="0"/>
              <w:rPr>
                <w:rFonts w:eastAsia="宋体"/>
                <w:sz w:val="24"/>
                <w:szCs w:val="24"/>
              </w:rPr>
            </w:pPr>
            <w:proofErr w:type="gramStart"/>
            <w:r w:rsidRPr="00A45707">
              <w:rPr>
                <w:sz w:val="24"/>
                <w:szCs w:val="24"/>
              </w:rPr>
              <w:t>邦</w:t>
            </w:r>
            <w:proofErr w:type="gramEnd"/>
            <w:r w:rsidRPr="00A45707">
              <w:rPr>
                <w:sz w:val="24"/>
                <w:szCs w:val="24"/>
              </w:rPr>
              <w:t>翼航空是一家飞机机舱内部产品的制造商和供应商</w:t>
            </w:r>
            <w:r w:rsidR="004E79B9">
              <w:rPr>
                <w:rFonts w:hint="eastAsia"/>
                <w:sz w:val="24"/>
                <w:szCs w:val="24"/>
              </w:rPr>
              <w:t>。</w:t>
            </w:r>
            <w:r w:rsidR="002E4024">
              <w:rPr>
                <w:rFonts w:hint="eastAsia"/>
                <w:sz w:val="24"/>
                <w:szCs w:val="24"/>
              </w:rPr>
              <w:t>其</w:t>
            </w:r>
            <w:bookmarkStart w:id="0" w:name="_GoBack"/>
            <w:bookmarkEnd w:id="0"/>
            <w:r w:rsidR="002E4024">
              <w:rPr>
                <w:rFonts w:hint="eastAsia"/>
                <w:sz w:val="24"/>
                <w:szCs w:val="24"/>
              </w:rPr>
              <w:t>产品</w:t>
            </w:r>
            <w:r w:rsidRPr="00A45707">
              <w:rPr>
                <w:sz w:val="24"/>
                <w:szCs w:val="24"/>
              </w:rPr>
              <w:t>包括机舱座椅、照明系统、</w:t>
            </w:r>
            <w:r w:rsidRPr="00A45707">
              <w:rPr>
                <w:rFonts w:hint="eastAsia"/>
                <w:sz w:val="24"/>
                <w:szCs w:val="24"/>
              </w:rPr>
              <w:t>供氧</w:t>
            </w:r>
            <w:r w:rsidRPr="00A45707">
              <w:rPr>
                <w:sz w:val="24"/>
                <w:szCs w:val="24"/>
              </w:rPr>
              <w:t>系统、</w:t>
            </w:r>
            <w:r w:rsidRPr="00A45707">
              <w:rPr>
                <w:rFonts w:hint="eastAsia"/>
                <w:sz w:val="24"/>
                <w:szCs w:val="24"/>
              </w:rPr>
              <w:t>饮食准备</w:t>
            </w:r>
            <w:r w:rsidRPr="00A45707">
              <w:rPr>
                <w:sz w:val="24"/>
                <w:szCs w:val="24"/>
              </w:rPr>
              <w:t>和储存设备、厨房系统及模块化卫生间系统。</w:t>
            </w:r>
          </w:p>
        </w:tc>
      </w:tr>
      <w:tr w:rsidR="0089692E" w:rsidRPr="00A45707">
        <w:tc>
          <w:tcPr>
            <w:tcW w:w="1573" w:type="dxa"/>
            <w:vMerge w:val="restart"/>
            <w:shd w:val="clear" w:color="auto" w:fill="D9D9D9"/>
          </w:tcPr>
          <w:p w:rsidR="0089692E" w:rsidRPr="00A45707" w:rsidRDefault="00CA01F3">
            <w:pPr>
              <w:rPr>
                <w:rFonts w:eastAsia="宋体"/>
                <w:b/>
                <w:sz w:val="24"/>
                <w:szCs w:val="24"/>
              </w:rPr>
            </w:pPr>
            <w:r w:rsidRPr="00A45707">
              <w:rPr>
                <w:rFonts w:eastAsia="宋体"/>
                <w:sz w:val="24"/>
                <w:szCs w:val="24"/>
                <w:lang w:val="en-GB"/>
              </w:rPr>
              <w:t>简易案件理由（可以单选，也可以多选）</w:t>
            </w:r>
          </w:p>
        </w:tc>
        <w:tc>
          <w:tcPr>
            <w:tcW w:w="7185" w:type="dxa"/>
            <w:gridSpan w:val="2"/>
          </w:tcPr>
          <w:p w:rsidR="0089692E" w:rsidRPr="00A45707" w:rsidRDefault="00CA01F3">
            <w:pPr>
              <w:tabs>
                <w:tab w:val="left" w:pos="269"/>
              </w:tabs>
              <w:rPr>
                <w:rFonts w:eastAsia="宋体"/>
                <w:sz w:val="24"/>
                <w:szCs w:val="24"/>
              </w:rPr>
            </w:pPr>
            <w:r w:rsidRPr="00A45707">
              <w:rPr>
                <w:rFonts w:eastAsia="宋体"/>
                <w:sz w:val="24"/>
                <w:szCs w:val="24"/>
                <w:lang w:val="en-GB"/>
              </w:rPr>
              <w:t>□ 1</w:t>
            </w:r>
            <w:r w:rsidRPr="00A45707">
              <w:rPr>
                <w:rFonts w:eastAsia="宋体"/>
                <w:sz w:val="24"/>
                <w:szCs w:val="24"/>
                <w:lang w:val="en-GB"/>
              </w:rPr>
              <w:t>、在同一相关市场，所有参与集中的经营者所占市场份额之和小于</w:t>
            </w:r>
            <w:r w:rsidRPr="00A45707">
              <w:rPr>
                <w:rFonts w:eastAsia="宋体"/>
                <w:sz w:val="24"/>
                <w:szCs w:val="24"/>
                <w:lang w:val="en-GB"/>
              </w:rPr>
              <w:t>15%</w:t>
            </w:r>
            <w:r w:rsidRPr="00A45707">
              <w:rPr>
                <w:rFonts w:eastAsia="宋体"/>
                <w:sz w:val="24"/>
                <w:szCs w:val="24"/>
                <w:lang w:val="en-GB"/>
              </w:rPr>
              <w:t>。</w:t>
            </w:r>
          </w:p>
        </w:tc>
      </w:tr>
      <w:tr w:rsidR="0089692E" w:rsidRPr="00A45707">
        <w:tc>
          <w:tcPr>
            <w:tcW w:w="1573" w:type="dxa"/>
            <w:vMerge/>
            <w:shd w:val="clear" w:color="auto" w:fill="D9D9D9"/>
          </w:tcPr>
          <w:p w:rsidR="0089692E" w:rsidRPr="00A45707" w:rsidRDefault="0089692E">
            <w:pPr>
              <w:rPr>
                <w:rFonts w:eastAsia="宋体"/>
                <w:b/>
                <w:sz w:val="24"/>
                <w:szCs w:val="24"/>
              </w:rPr>
            </w:pPr>
          </w:p>
        </w:tc>
        <w:tc>
          <w:tcPr>
            <w:tcW w:w="7185" w:type="dxa"/>
            <w:gridSpan w:val="2"/>
          </w:tcPr>
          <w:p w:rsidR="0089692E" w:rsidRPr="00A45707" w:rsidRDefault="00EE1ECB">
            <w:pPr>
              <w:tabs>
                <w:tab w:val="left" w:pos="269"/>
              </w:tabs>
              <w:rPr>
                <w:rFonts w:eastAsia="宋体"/>
                <w:sz w:val="24"/>
                <w:szCs w:val="24"/>
              </w:rPr>
            </w:pPr>
            <w:r w:rsidRPr="00A45707">
              <w:rPr>
                <w:rFonts w:eastAsia="宋体"/>
                <w:sz w:val="24"/>
                <w:szCs w:val="24"/>
                <w:lang w:val="en-GB"/>
              </w:rPr>
              <w:sym w:font="Wingdings" w:char="F0FE"/>
            </w:r>
            <w:r w:rsidR="00CA01F3" w:rsidRPr="00A45707">
              <w:rPr>
                <w:rFonts w:eastAsia="宋体"/>
                <w:sz w:val="24"/>
                <w:szCs w:val="24"/>
                <w:lang w:val="en-GB"/>
              </w:rPr>
              <w:t xml:space="preserve"> 2</w:t>
            </w:r>
            <w:r w:rsidR="00CA01F3" w:rsidRPr="00A45707">
              <w:rPr>
                <w:rFonts w:eastAsia="宋体"/>
                <w:sz w:val="24"/>
                <w:szCs w:val="24"/>
                <w:lang w:val="en-GB"/>
              </w:rPr>
              <w:t>、存在上下游关系的参与集中的经营者，在上下游市场所占的市场份额均小于</w:t>
            </w:r>
            <w:r w:rsidR="00CA01F3" w:rsidRPr="00A45707">
              <w:rPr>
                <w:rFonts w:eastAsia="宋体"/>
                <w:sz w:val="24"/>
                <w:szCs w:val="24"/>
                <w:lang w:val="en-GB"/>
              </w:rPr>
              <w:t>25%</w:t>
            </w:r>
            <w:r w:rsidR="00CA01F3" w:rsidRPr="00A45707">
              <w:rPr>
                <w:rFonts w:eastAsia="宋体"/>
                <w:sz w:val="24"/>
                <w:szCs w:val="24"/>
                <w:lang w:val="en-GB"/>
              </w:rPr>
              <w:t>。</w:t>
            </w:r>
          </w:p>
        </w:tc>
      </w:tr>
      <w:tr w:rsidR="0089692E" w:rsidRPr="00A45707">
        <w:tc>
          <w:tcPr>
            <w:tcW w:w="1573" w:type="dxa"/>
            <w:vMerge/>
            <w:shd w:val="clear" w:color="auto" w:fill="D9D9D9"/>
          </w:tcPr>
          <w:p w:rsidR="0089692E" w:rsidRPr="00A45707" w:rsidRDefault="0089692E">
            <w:pPr>
              <w:rPr>
                <w:rFonts w:eastAsia="宋体"/>
                <w:b/>
                <w:sz w:val="24"/>
                <w:szCs w:val="24"/>
              </w:rPr>
            </w:pPr>
          </w:p>
        </w:tc>
        <w:tc>
          <w:tcPr>
            <w:tcW w:w="7185" w:type="dxa"/>
            <w:gridSpan w:val="2"/>
          </w:tcPr>
          <w:p w:rsidR="0089692E" w:rsidRPr="00A45707" w:rsidRDefault="00CA01F3">
            <w:pPr>
              <w:tabs>
                <w:tab w:val="left" w:pos="269"/>
              </w:tabs>
              <w:rPr>
                <w:rFonts w:eastAsia="宋体"/>
                <w:sz w:val="24"/>
                <w:szCs w:val="24"/>
              </w:rPr>
            </w:pPr>
            <w:r w:rsidRPr="00A45707">
              <w:rPr>
                <w:rFonts w:eastAsia="宋体"/>
                <w:sz w:val="24"/>
                <w:szCs w:val="24"/>
                <w:lang w:val="en-GB"/>
              </w:rPr>
              <w:t>□ 3</w:t>
            </w:r>
            <w:r w:rsidRPr="00A45707">
              <w:rPr>
                <w:rFonts w:eastAsia="宋体"/>
                <w:sz w:val="24"/>
                <w:szCs w:val="24"/>
                <w:lang w:val="en-GB"/>
              </w:rPr>
              <w:t>、不在同一相关市场、也不存在上下游关系的参与集中的经营者，在与交易有关的每个市场所占的份额均小于</w:t>
            </w:r>
            <w:r w:rsidRPr="00A45707">
              <w:rPr>
                <w:rFonts w:eastAsia="宋体"/>
                <w:sz w:val="24"/>
                <w:szCs w:val="24"/>
                <w:lang w:val="en-GB"/>
              </w:rPr>
              <w:t>25%</w:t>
            </w:r>
            <w:r w:rsidRPr="00A45707">
              <w:rPr>
                <w:rFonts w:eastAsia="宋体"/>
                <w:sz w:val="24"/>
                <w:szCs w:val="24"/>
                <w:lang w:val="en-GB"/>
              </w:rPr>
              <w:t>。</w:t>
            </w:r>
          </w:p>
        </w:tc>
      </w:tr>
      <w:tr w:rsidR="0089692E" w:rsidRPr="00A45707">
        <w:tc>
          <w:tcPr>
            <w:tcW w:w="1573" w:type="dxa"/>
            <w:vMerge/>
            <w:shd w:val="clear" w:color="auto" w:fill="D9D9D9"/>
          </w:tcPr>
          <w:p w:rsidR="0089692E" w:rsidRPr="00A45707" w:rsidRDefault="0089692E">
            <w:pPr>
              <w:rPr>
                <w:rFonts w:eastAsia="宋体"/>
                <w:b/>
                <w:sz w:val="24"/>
                <w:szCs w:val="24"/>
              </w:rPr>
            </w:pPr>
          </w:p>
        </w:tc>
        <w:tc>
          <w:tcPr>
            <w:tcW w:w="7185" w:type="dxa"/>
            <w:gridSpan w:val="2"/>
          </w:tcPr>
          <w:p w:rsidR="0089692E" w:rsidRPr="00A45707" w:rsidRDefault="00EE1ECB">
            <w:pPr>
              <w:tabs>
                <w:tab w:val="left" w:pos="269"/>
              </w:tabs>
              <w:rPr>
                <w:rFonts w:eastAsia="宋体"/>
                <w:sz w:val="24"/>
                <w:szCs w:val="24"/>
              </w:rPr>
            </w:pPr>
            <w:r w:rsidRPr="00A45707">
              <w:rPr>
                <w:rFonts w:eastAsia="宋体"/>
                <w:sz w:val="24"/>
                <w:szCs w:val="24"/>
                <w:lang w:val="en-GB"/>
              </w:rPr>
              <w:t>□</w:t>
            </w:r>
            <w:r w:rsidR="00CA01F3" w:rsidRPr="00A45707">
              <w:rPr>
                <w:rFonts w:eastAsia="宋体"/>
                <w:sz w:val="24"/>
                <w:szCs w:val="24"/>
                <w:lang w:val="en-GB"/>
              </w:rPr>
              <w:t xml:space="preserve"> 4</w:t>
            </w:r>
            <w:r w:rsidR="00CA01F3" w:rsidRPr="00A45707">
              <w:rPr>
                <w:rFonts w:eastAsia="宋体"/>
                <w:sz w:val="24"/>
                <w:szCs w:val="24"/>
                <w:lang w:val="en-GB"/>
              </w:rPr>
              <w:t>、参与集中的经营者在中国境外设立合营企业，合营企业不在中国境内从事经济活动。</w:t>
            </w:r>
          </w:p>
        </w:tc>
      </w:tr>
      <w:tr w:rsidR="0089692E" w:rsidRPr="00A45707">
        <w:tc>
          <w:tcPr>
            <w:tcW w:w="1573" w:type="dxa"/>
            <w:vMerge/>
            <w:shd w:val="clear" w:color="auto" w:fill="D9D9D9"/>
          </w:tcPr>
          <w:p w:rsidR="0089692E" w:rsidRPr="00A45707" w:rsidRDefault="0089692E">
            <w:pPr>
              <w:rPr>
                <w:rFonts w:eastAsia="宋体"/>
                <w:b/>
                <w:sz w:val="24"/>
                <w:szCs w:val="24"/>
              </w:rPr>
            </w:pPr>
          </w:p>
        </w:tc>
        <w:tc>
          <w:tcPr>
            <w:tcW w:w="7185" w:type="dxa"/>
            <w:gridSpan w:val="2"/>
          </w:tcPr>
          <w:p w:rsidR="0089692E" w:rsidRPr="00A45707" w:rsidRDefault="00CA01F3">
            <w:pPr>
              <w:tabs>
                <w:tab w:val="left" w:pos="269"/>
              </w:tabs>
              <w:rPr>
                <w:rFonts w:eastAsia="宋体"/>
                <w:sz w:val="24"/>
                <w:szCs w:val="24"/>
              </w:rPr>
            </w:pPr>
            <w:r w:rsidRPr="00A45707">
              <w:rPr>
                <w:rFonts w:eastAsia="宋体"/>
                <w:sz w:val="24"/>
                <w:szCs w:val="24"/>
                <w:lang w:val="en-GB"/>
              </w:rPr>
              <w:t>□ 5</w:t>
            </w:r>
            <w:r w:rsidRPr="00A45707">
              <w:rPr>
                <w:rFonts w:eastAsia="宋体"/>
                <w:sz w:val="24"/>
                <w:szCs w:val="24"/>
                <w:lang w:val="en-GB"/>
              </w:rPr>
              <w:t>、参与集中的经营者收购境外企业股权或资产的，该境外企业不在中国境内从事经济活动。</w:t>
            </w:r>
          </w:p>
        </w:tc>
      </w:tr>
      <w:tr w:rsidR="0089692E" w:rsidRPr="00A45707">
        <w:tc>
          <w:tcPr>
            <w:tcW w:w="1573" w:type="dxa"/>
            <w:vMerge/>
            <w:shd w:val="clear" w:color="auto" w:fill="D9D9D9"/>
          </w:tcPr>
          <w:p w:rsidR="0089692E" w:rsidRPr="00A45707" w:rsidRDefault="0089692E">
            <w:pPr>
              <w:rPr>
                <w:rFonts w:eastAsia="宋体"/>
                <w:b/>
                <w:sz w:val="24"/>
                <w:szCs w:val="24"/>
              </w:rPr>
            </w:pPr>
          </w:p>
        </w:tc>
        <w:tc>
          <w:tcPr>
            <w:tcW w:w="7185" w:type="dxa"/>
            <w:gridSpan w:val="2"/>
          </w:tcPr>
          <w:p w:rsidR="0089692E" w:rsidRPr="00A45707" w:rsidRDefault="00CA01F3">
            <w:pPr>
              <w:tabs>
                <w:tab w:val="left" w:pos="269"/>
              </w:tabs>
              <w:rPr>
                <w:rFonts w:eastAsia="宋体"/>
                <w:sz w:val="24"/>
                <w:szCs w:val="24"/>
              </w:rPr>
            </w:pPr>
            <w:r w:rsidRPr="00A45707">
              <w:rPr>
                <w:rFonts w:eastAsia="宋体"/>
                <w:sz w:val="24"/>
                <w:szCs w:val="24"/>
                <w:lang w:val="en-GB"/>
              </w:rPr>
              <w:t>□ 6</w:t>
            </w:r>
            <w:r w:rsidRPr="00A45707">
              <w:rPr>
                <w:rFonts w:eastAsia="宋体"/>
                <w:sz w:val="24"/>
                <w:szCs w:val="24"/>
                <w:lang w:val="en-GB"/>
              </w:rPr>
              <w:t>、由两个以上的经营者共同控制的合营企业，通过集中被其中一个或一个以上经营者控制。</w:t>
            </w:r>
          </w:p>
        </w:tc>
      </w:tr>
      <w:tr w:rsidR="0089692E" w:rsidRPr="00A45707">
        <w:tc>
          <w:tcPr>
            <w:tcW w:w="1573" w:type="dxa"/>
            <w:shd w:val="clear" w:color="auto" w:fill="D9D9D9"/>
          </w:tcPr>
          <w:p w:rsidR="0089692E" w:rsidRPr="00A45707" w:rsidRDefault="00CA01F3">
            <w:pPr>
              <w:rPr>
                <w:rFonts w:eastAsia="宋体"/>
                <w:b/>
                <w:sz w:val="24"/>
                <w:szCs w:val="24"/>
              </w:rPr>
            </w:pPr>
            <w:r w:rsidRPr="00A45707">
              <w:rPr>
                <w:rFonts w:eastAsia="宋体"/>
                <w:sz w:val="24"/>
                <w:szCs w:val="24"/>
                <w:lang w:val="en-GB"/>
              </w:rPr>
              <w:t>备注</w:t>
            </w:r>
          </w:p>
        </w:tc>
        <w:tc>
          <w:tcPr>
            <w:tcW w:w="7185" w:type="dxa"/>
            <w:gridSpan w:val="2"/>
          </w:tcPr>
          <w:p w:rsidR="00EE1ECB" w:rsidRPr="00A45707" w:rsidRDefault="00EE1ECB" w:rsidP="00EE1ECB">
            <w:pPr>
              <w:widowControl/>
              <w:snapToGrid w:val="0"/>
              <w:jc w:val="left"/>
              <w:rPr>
                <w:sz w:val="24"/>
                <w:szCs w:val="24"/>
              </w:rPr>
            </w:pPr>
            <w:bookmarkStart w:id="1" w:name="OLE_LINK121"/>
            <w:r w:rsidRPr="00A45707">
              <w:rPr>
                <w:rFonts w:hint="eastAsia"/>
                <w:sz w:val="24"/>
                <w:szCs w:val="24"/>
              </w:rPr>
              <w:t>产品市场：</w:t>
            </w:r>
          </w:p>
          <w:bookmarkEnd w:id="1"/>
          <w:p w:rsidR="00623E96" w:rsidRDefault="00EE1ECB" w:rsidP="00EE1ECB">
            <w:pPr>
              <w:widowControl/>
              <w:snapToGrid w:val="0"/>
              <w:jc w:val="left"/>
              <w:rPr>
                <w:sz w:val="24"/>
                <w:szCs w:val="24"/>
              </w:rPr>
            </w:pPr>
            <w:r w:rsidRPr="00A45707">
              <w:rPr>
                <w:sz w:val="24"/>
                <w:szCs w:val="24"/>
              </w:rPr>
              <w:t>上游：通用电子零部件</w:t>
            </w:r>
          </w:p>
          <w:p w:rsidR="00EE1ECB" w:rsidRPr="00A45707" w:rsidRDefault="00EE1ECB" w:rsidP="00EE1ECB">
            <w:pPr>
              <w:widowControl/>
              <w:snapToGrid w:val="0"/>
              <w:jc w:val="left"/>
              <w:rPr>
                <w:rFonts w:eastAsia="仿宋_GB2312"/>
                <w:bCs/>
                <w:color w:val="000000"/>
                <w:kern w:val="0"/>
                <w:sz w:val="24"/>
                <w:szCs w:val="24"/>
              </w:rPr>
            </w:pPr>
            <w:r w:rsidRPr="00A45707">
              <w:rPr>
                <w:rFonts w:hint="eastAsia"/>
                <w:sz w:val="24"/>
                <w:szCs w:val="24"/>
              </w:rPr>
              <w:t>下游：</w:t>
            </w:r>
            <w:r w:rsidR="00390D84" w:rsidRPr="00A45707">
              <w:rPr>
                <w:rFonts w:hint="eastAsia"/>
                <w:sz w:val="24"/>
                <w:szCs w:val="24"/>
              </w:rPr>
              <w:t>转售</w:t>
            </w:r>
            <w:r w:rsidRPr="00A45707">
              <w:rPr>
                <w:rFonts w:hint="eastAsia"/>
                <w:sz w:val="24"/>
                <w:szCs w:val="24"/>
              </w:rPr>
              <w:t>通用电子零部件</w:t>
            </w:r>
          </w:p>
          <w:p w:rsidR="00EE1ECB" w:rsidRPr="00A45707" w:rsidRDefault="00EE1ECB" w:rsidP="00EE1ECB">
            <w:pPr>
              <w:rPr>
                <w:sz w:val="24"/>
                <w:szCs w:val="24"/>
              </w:rPr>
            </w:pPr>
            <w:r w:rsidRPr="00A45707">
              <w:rPr>
                <w:rFonts w:hint="eastAsia"/>
                <w:sz w:val="24"/>
                <w:szCs w:val="24"/>
              </w:rPr>
              <w:t>地域市场：全球市场</w:t>
            </w:r>
          </w:p>
          <w:p w:rsidR="00EE1ECB" w:rsidRPr="00E95DD5" w:rsidRDefault="00EE1ECB" w:rsidP="00EE1ECB">
            <w:pPr>
              <w:rPr>
                <w:sz w:val="24"/>
                <w:szCs w:val="24"/>
              </w:rPr>
            </w:pPr>
          </w:p>
          <w:p w:rsidR="00E95DD5" w:rsidRPr="00E95DD5" w:rsidRDefault="00390D84" w:rsidP="00E95DD5">
            <w:pPr>
              <w:rPr>
                <w:sz w:val="24"/>
                <w:szCs w:val="24"/>
              </w:rPr>
            </w:pPr>
            <w:r w:rsidRPr="00E95DD5">
              <w:rPr>
                <w:rFonts w:hint="eastAsia"/>
                <w:sz w:val="24"/>
                <w:szCs w:val="24"/>
              </w:rPr>
              <w:t>市场份额：</w:t>
            </w:r>
          </w:p>
          <w:p w:rsidR="00E95DD5" w:rsidRPr="00E95DD5" w:rsidRDefault="00E95DD5" w:rsidP="00E95DD5">
            <w:pPr>
              <w:rPr>
                <w:sz w:val="24"/>
                <w:szCs w:val="24"/>
              </w:rPr>
            </w:pPr>
            <w:r w:rsidRPr="00E95DD5">
              <w:rPr>
                <w:rFonts w:hint="eastAsia"/>
                <w:sz w:val="24"/>
                <w:szCs w:val="24"/>
              </w:rPr>
              <w:t>上游：</w:t>
            </w:r>
          </w:p>
          <w:p w:rsidR="00E95DD5" w:rsidRPr="00E95DD5" w:rsidRDefault="00E95DD5" w:rsidP="00E95DD5">
            <w:pPr>
              <w:rPr>
                <w:sz w:val="24"/>
                <w:szCs w:val="24"/>
              </w:rPr>
            </w:pPr>
            <w:proofErr w:type="gramStart"/>
            <w:r w:rsidRPr="00E95DD5">
              <w:rPr>
                <w:rFonts w:hint="eastAsia"/>
                <w:sz w:val="24"/>
                <w:szCs w:val="24"/>
              </w:rPr>
              <w:t>邦</w:t>
            </w:r>
            <w:proofErr w:type="gramEnd"/>
            <w:r w:rsidRPr="00E95DD5">
              <w:rPr>
                <w:rFonts w:hint="eastAsia"/>
                <w:sz w:val="24"/>
                <w:szCs w:val="24"/>
              </w:rPr>
              <w:t>翼航空：</w:t>
            </w:r>
            <w:r w:rsidRPr="00E95DD5">
              <w:rPr>
                <w:rFonts w:hint="eastAsia"/>
                <w:sz w:val="24"/>
                <w:szCs w:val="24"/>
              </w:rPr>
              <w:t>[&lt;1%]</w:t>
            </w:r>
          </w:p>
          <w:p w:rsidR="00E95DD5" w:rsidRPr="00E95DD5" w:rsidRDefault="00E95DD5" w:rsidP="00E95DD5">
            <w:pPr>
              <w:rPr>
                <w:sz w:val="24"/>
                <w:szCs w:val="24"/>
              </w:rPr>
            </w:pPr>
            <w:r w:rsidRPr="00E95DD5">
              <w:rPr>
                <w:rFonts w:hint="eastAsia"/>
                <w:sz w:val="24"/>
                <w:szCs w:val="24"/>
              </w:rPr>
              <w:t>下游：</w:t>
            </w:r>
          </w:p>
          <w:p w:rsidR="0089692E" w:rsidRPr="00A45707" w:rsidRDefault="00E95DD5" w:rsidP="00E95DD5">
            <w:pPr>
              <w:rPr>
                <w:sz w:val="24"/>
                <w:szCs w:val="24"/>
              </w:rPr>
            </w:pPr>
            <w:r w:rsidRPr="00E95DD5">
              <w:rPr>
                <w:rFonts w:hint="eastAsia"/>
                <w:sz w:val="24"/>
                <w:szCs w:val="24"/>
              </w:rPr>
              <w:t>罗克韦尔</w:t>
            </w:r>
            <w:r w:rsidR="00BC10BC" w:rsidRPr="00BC10BC">
              <w:rPr>
                <w:sz w:val="24"/>
                <w:szCs w:val="24"/>
              </w:rPr>
              <w:t>柯林斯</w:t>
            </w:r>
            <w:r w:rsidRPr="00E95DD5">
              <w:rPr>
                <w:rFonts w:hint="eastAsia"/>
                <w:sz w:val="24"/>
                <w:szCs w:val="24"/>
              </w:rPr>
              <w:t>：</w:t>
            </w:r>
            <w:r w:rsidRPr="00E95DD5">
              <w:rPr>
                <w:rFonts w:hint="eastAsia"/>
                <w:sz w:val="24"/>
                <w:szCs w:val="24"/>
              </w:rPr>
              <w:t>[&lt;25%]</w:t>
            </w:r>
          </w:p>
        </w:tc>
      </w:tr>
    </w:tbl>
    <w:p w:rsidR="0089692E" w:rsidRDefault="0089692E">
      <w:pPr>
        <w:rPr>
          <w:rFonts w:eastAsia="宋体"/>
          <w:sz w:val="24"/>
        </w:rPr>
      </w:pPr>
    </w:p>
    <w:p w:rsidR="0089692E" w:rsidRDefault="00CA01F3">
      <w:pPr>
        <w:pStyle w:val="a3"/>
        <w:rPr>
          <w:szCs w:val="22"/>
          <w:lang w:eastAsia="zh-CN"/>
        </w:rPr>
      </w:pPr>
      <w:r>
        <w:rPr>
          <w:szCs w:val="22"/>
          <w:lang w:eastAsia="zh-CN"/>
        </w:rPr>
        <w:t>注解：</w:t>
      </w:r>
    </w:p>
    <w:p w:rsidR="0089692E" w:rsidRDefault="00CA01F3">
      <w:pPr>
        <w:pStyle w:val="a3"/>
        <w:ind w:firstLineChars="200" w:firstLine="480"/>
        <w:rPr>
          <w:szCs w:val="22"/>
          <w:lang w:eastAsia="zh-CN"/>
        </w:rPr>
      </w:pPr>
      <w:r>
        <w:rPr>
          <w:szCs w:val="22"/>
          <w:lang w:eastAsia="zh-CN"/>
        </w:rPr>
        <w:t>1</w:t>
      </w:r>
      <w:r>
        <w:rPr>
          <w:szCs w:val="22"/>
          <w:lang w:eastAsia="zh-CN"/>
        </w:rPr>
        <w:t>、申报方申请简易案件的理由是基于</w:t>
      </w:r>
      <w:r>
        <w:rPr>
          <w:szCs w:val="22"/>
          <w:lang w:eastAsia="zh-CN"/>
        </w:rPr>
        <w:t>1-3</w:t>
      </w:r>
      <w:r>
        <w:rPr>
          <w:szCs w:val="22"/>
          <w:lang w:eastAsia="zh-CN"/>
        </w:rPr>
        <w:t>项时，须在备注中说明界定的相关商品市场和相关地域市场（无须阐述界定理由），以及相关市场份额；市场份</w:t>
      </w:r>
      <w:r>
        <w:rPr>
          <w:szCs w:val="22"/>
          <w:lang w:eastAsia="zh-CN"/>
        </w:rPr>
        <w:lastRenderedPageBreak/>
        <w:t>额可以区间形式提供，区间幅度不应超过</w:t>
      </w:r>
      <w:r>
        <w:rPr>
          <w:szCs w:val="22"/>
          <w:lang w:eastAsia="zh-CN"/>
        </w:rPr>
        <w:t>5%</w:t>
      </w:r>
      <w:r>
        <w:rPr>
          <w:szCs w:val="22"/>
          <w:lang w:eastAsia="zh-CN"/>
        </w:rPr>
        <w:t>。</w:t>
      </w:r>
      <w:r>
        <w:rPr>
          <w:szCs w:val="22"/>
          <w:lang w:eastAsia="zh-CN"/>
        </w:rPr>
        <w:t>1-3</w:t>
      </w:r>
      <w:r>
        <w:rPr>
          <w:szCs w:val="22"/>
          <w:lang w:eastAsia="zh-CN"/>
        </w:rPr>
        <w:t>项可以多选，也可单选；</w:t>
      </w:r>
      <w:proofErr w:type="gramStart"/>
      <w:r>
        <w:rPr>
          <w:szCs w:val="22"/>
          <w:lang w:eastAsia="zh-CN"/>
        </w:rPr>
        <w:t>没有勾选的</w:t>
      </w:r>
      <w:proofErr w:type="gramEnd"/>
      <w:r>
        <w:rPr>
          <w:szCs w:val="22"/>
          <w:lang w:eastAsia="zh-CN"/>
        </w:rPr>
        <w:t>，视为本集中不涉及该类型交易。</w:t>
      </w:r>
    </w:p>
    <w:p w:rsidR="0089692E" w:rsidRDefault="00CA01F3">
      <w:pPr>
        <w:pStyle w:val="a3"/>
        <w:ind w:firstLineChars="200" w:firstLine="480"/>
        <w:rPr>
          <w:szCs w:val="22"/>
          <w:lang w:eastAsia="zh-CN"/>
        </w:rPr>
      </w:pPr>
      <w:r>
        <w:rPr>
          <w:szCs w:val="22"/>
          <w:lang w:eastAsia="zh-CN"/>
        </w:rPr>
        <w:t>2</w:t>
      </w:r>
      <w:r>
        <w:rPr>
          <w:szCs w:val="22"/>
          <w:lang w:eastAsia="zh-CN"/>
        </w:rPr>
        <w:t>、申报方申请简易案件的理由是基于第</w:t>
      </w:r>
      <w:r>
        <w:rPr>
          <w:szCs w:val="22"/>
          <w:lang w:eastAsia="zh-CN"/>
        </w:rPr>
        <w:t>4</w:t>
      </w:r>
      <w:r>
        <w:rPr>
          <w:szCs w:val="22"/>
          <w:lang w:eastAsia="zh-CN"/>
        </w:rPr>
        <w:t>项、第</w:t>
      </w:r>
      <w:r>
        <w:rPr>
          <w:szCs w:val="22"/>
          <w:lang w:eastAsia="zh-CN"/>
        </w:rPr>
        <w:t>5</w:t>
      </w:r>
      <w:r>
        <w:rPr>
          <w:szCs w:val="22"/>
          <w:lang w:eastAsia="zh-CN"/>
        </w:rPr>
        <w:t>项时，无须在备注中说明相关市场和市场份额。</w:t>
      </w:r>
    </w:p>
    <w:p w:rsidR="0089692E" w:rsidRDefault="00CA01F3">
      <w:pPr>
        <w:pStyle w:val="a3"/>
        <w:ind w:firstLineChars="200" w:firstLine="480"/>
        <w:rPr>
          <w:szCs w:val="22"/>
          <w:lang w:eastAsia="zh-CN"/>
        </w:rPr>
      </w:pPr>
      <w:r>
        <w:rPr>
          <w:szCs w:val="22"/>
          <w:lang w:eastAsia="zh-CN"/>
        </w:rPr>
        <w:t>3</w:t>
      </w:r>
      <w:r>
        <w:rPr>
          <w:szCs w:val="22"/>
          <w:lang w:eastAsia="zh-CN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>
        <w:rPr>
          <w:szCs w:val="22"/>
          <w:lang w:eastAsia="zh-CN"/>
        </w:rPr>
        <w:t>同时勾选第</w:t>
      </w:r>
      <w:r>
        <w:rPr>
          <w:szCs w:val="22"/>
          <w:lang w:eastAsia="zh-CN"/>
        </w:rPr>
        <w:t>1</w:t>
      </w:r>
      <w:r>
        <w:rPr>
          <w:szCs w:val="22"/>
          <w:lang w:eastAsia="zh-CN"/>
        </w:rPr>
        <w:t>项</w:t>
      </w:r>
      <w:proofErr w:type="gramEnd"/>
      <w:r>
        <w:rPr>
          <w:szCs w:val="22"/>
          <w:lang w:eastAsia="zh-CN"/>
        </w:rPr>
        <w:t>和第</w:t>
      </w:r>
      <w:r>
        <w:rPr>
          <w:szCs w:val="22"/>
          <w:lang w:eastAsia="zh-CN"/>
        </w:rPr>
        <w:t>6</w:t>
      </w:r>
      <w:r>
        <w:rPr>
          <w:szCs w:val="22"/>
          <w:lang w:eastAsia="zh-CN"/>
        </w:rPr>
        <w:t>项理由，并在备注中说明界定的相关商品市场和相关地域市场（无须阐述界定理由），以及相关市场份额。市场份额可以区间形式提供，区间幅度不应超过</w:t>
      </w:r>
      <w:r>
        <w:rPr>
          <w:szCs w:val="22"/>
          <w:lang w:eastAsia="zh-CN"/>
        </w:rPr>
        <w:t>5%</w:t>
      </w:r>
      <w:r>
        <w:rPr>
          <w:szCs w:val="22"/>
          <w:lang w:eastAsia="zh-CN"/>
        </w:rPr>
        <w:t>。</w:t>
      </w:r>
    </w:p>
    <w:sectPr w:rsidR="0089692E" w:rsidSect="0089692E"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9692E" w:rsidRDefault="0089692E" w:rsidP="0089692E">
      <w:r>
        <w:separator/>
      </w:r>
    </w:p>
  </w:endnote>
  <w:endnote w:type="continuationSeparator" w:id="1">
    <w:p w:rsidR="0089692E" w:rsidRDefault="0089692E" w:rsidP="0089692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altName w:val="Times New Roman"/>
    <w:charset w:val="00"/>
    <w:family w:val="roman"/>
    <w:pitch w:val="variable"/>
    <w:sig w:usb0="00000000" w:usb1="00000000" w:usb2="00000000" w:usb3="00000000" w:csb0="00000041" w:csb1="00000000"/>
  </w:font>
  <w:font w:name="仿宋_GB2312">
    <w:altName w:val="Arial Unicode MS"/>
    <w:charset w:val="86"/>
    <w:family w:val="modern"/>
    <w:pitch w:val="fixed"/>
    <w:sig w:usb0="00000000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692E" w:rsidRDefault="00485539">
    <w:pPr>
      <w:pStyle w:val="DocId"/>
    </w:pPr>
    <w:fldSimple w:instr=" DOCPROPERTY DOCXDOCID DMS=InterwovenIManage Format=[&lt;&lt;LIB&gt;&gt;&lt;&lt;NUM&gt;&gt;_&lt;&lt;VER&gt;&gt;] PRESERVELOCATION \* MERGEFORMAT ">
      <w:r w:rsidR="00CA01F3">
        <w:t>[BRUSSELS 621754_4]</w:t>
      </w:r>
    </w:fldSimple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692E" w:rsidRDefault="00485539">
    <w:pPr>
      <w:pStyle w:val="a6"/>
      <w:jc w:val="center"/>
    </w:pPr>
    <w:r>
      <w:rPr>
        <w:b/>
        <w:sz w:val="24"/>
        <w:szCs w:val="24"/>
      </w:rPr>
      <w:fldChar w:fldCharType="begin"/>
    </w:r>
    <w:r w:rsidR="00CA01F3"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D5556C">
      <w:rPr>
        <w:b/>
        <w:noProof/>
      </w:rPr>
      <w:t>1</w:t>
    </w:r>
    <w:r>
      <w:rPr>
        <w:b/>
        <w:sz w:val="24"/>
        <w:szCs w:val="24"/>
      </w:rPr>
      <w:fldChar w:fldCharType="end"/>
    </w:r>
    <w:r w:rsidR="00CA01F3">
      <w:rPr>
        <w:lang w:val="zh-CN"/>
      </w:rPr>
      <w:t xml:space="preserve">/ </w:t>
    </w:r>
    <w:r>
      <w:rPr>
        <w:b/>
        <w:sz w:val="24"/>
        <w:szCs w:val="24"/>
      </w:rPr>
      <w:fldChar w:fldCharType="begin"/>
    </w:r>
    <w:r w:rsidR="00CA01F3"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D5556C">
      <w:rPr>
        <w:b/>
        <w:noProof/>
      </w:rPr>
      <w:t>2</w:t>
    </w:r>
    <w:r>
      <w:rPr>
        <w:b/>
        <w:sz w:val="24"/>
        <w:szCs w:val="24"/>
      </w:rPr>
      <w:fldChar w:fldCharType="end"/>
    </w:r>
  </w:p>
  <w:p w:rsidR="0089692E" w:rsidRDefault="0089692E">
    <w:pPr>
      <w:pStyle w:val="DocId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692E" w:rsidRDefault="00485539">
    <w:pPr>
      <w:pStyle w:val="DocId"/>
    </w:pPr>
    <w:fldSimple w:instr=" DOCPROPERTY DOCXDOCID DMS=InterwovenIManage Format=[&lt;&lt;LIB&gt;&gt;&lt;&lt;NUM&gt;&gt;_&lt;&lt;VER&gt;&gt;] PRESERVELOCATION \* MERGEFORMAT ">
      <w:r w:rsidR="00CA01F3">
        <w:t>[BRUSSELS 621754_4]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9692E" w:rsidRDefault="0089692E" w:rsidP="0089692E">
      <w:r>
        <w:separator/>
      </w:r>
    </w:p>
  </w:footnote>
  <w:footnote w:type="continuationSeparator" w:id="1">
    <w:p w:rsidR="0089692E" w:rsidRDefault="0089692E" w:rsidP="0089692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692E" w:rsidRDefault="0089692E">
    <w:pPr>
      <w:pStyle w:val="a7"/>
      <w:wordWrap w:val="0"/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4A5EF2"/>
    <w:multiLevelType w:val="multilevel"/>
    <w:tmpl w:val="544A5E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  <w:rPr>
        <w:rFonts w:ascii="PMingLiU" w:eastAsia="PMingLiU" w:hAnsi="PMingLiU" w:hint="eastAsia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ascii="PMingLiU" w:eastAsia="PMingLiU" w:hAnsi="PMingLiU" w:hint="eastAsia"/>
      </w:r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ascii="PMingLiU" w:eastAsia="PMingLiU" w:hAnsi="PMingLiU" w:hint="eastAsia"/>
      </w:r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</w:compat>
  <w:rsids>
    <w:rsidRoot w:val="00094095"/>
    <w:rsid w:val="00011D84"/>
    <w:rsid w:val="00015645"/>
    <w:rsid w:val="00031387"/>
    <w:rsid w:val="00062BDF"/>
    <w:rsid w:val="00085304"/>
    <w:rsid w:val="00086BF5"/>
    <w:rsid w:val="00094095"/>
    <w:rsid w:val="000A70E4"/>
    <w:rsid w:val="000A7193"/>
    <w:rsid w:val="000A7B00"/>
    <w:rsid w:val="000E1FAF"/>
    <w:rsid w:val="001260D9"/>
    <w:rsid w:val="0013542B"/>
    <w:rsid w:val="001558FA"/>
    <w:rsid w:val="00180DD6"/>
    <w:rsid w:val="0018540A"/>
    <w:rsid w:val="00186B84"/>
    <w:rsid w:val="001A1DED"/>
    <w:rsid w:val="001D06E6"/>
    <w:rsid w:val="001D5179"/>
    <w:rsid w:val="001F6F44"/>
    <w:rsid w:val="0021055F"/>
    <w:rsid w:val="002154CA"/>
    <w:rsid w:val="00220BBC"/>
    <w:rsid w:val="00221537"/>
    <w:rsid w:val="0022493A"/>
    <w:rsid w:val="002462DA"/>
    <w:rsid w:val="002709D9"/>
    <w:rsid w:val="00283D83"/>
    <w:rsid w:val="00283E4C"/>
    <w:rsid w:val="002A3DF7"/>
    <w:rsid w:val="002A7E6A"/>
    <w:rsid w:val="002D06B0"/>
    <w:rsid w:val="002E4024"/>
    <w:rsid w:val="002E73E4"/>
    <w:rsid w:val="002F6233"/>
    <w:rsid w:val="00314AF0"/>
    <w:rsid w:val="0033536E"/>
    <w:rsid w:val="0035624F"/>
    <w:rsid w:val="00363B82"/>
    <w:rsid w:val="00367B76"/>
    <w:rsid w:val="00376AB9"/>
    <w:rsid w:val="0038750A"/>
    <w:rsid w:val="00390D84"/>
    <w:rsid w:val="003A4DFF"/>
    <w:rsid w:val="003A68B5"/>
    <w:rsid w:val="003A7080"/>
    <w:rsid w:val="003C4953"/>
    <w:rsid w:val="003D5C3E"/>
    <w:rsid w:val="00401D80"/>
    <w:rsid w:val="004079B6"/>
    <w:rsid w:val="004272C6"/>
    <w:rsid w:val="00431BA5"/>
    <w:rsid w:val="004329B7"/>
    <w:rsid w:val="00434202"/>
    <w:rsid w:val="00445BBF"/>
    <w:rsid w:val="00451E35"/>
    <w:rsid w:val="004552E4"/>
    <w:rsid w:val="00462174"/>
    <w:rsid w:val="004839CD"/>
    <w:rsid w:val="00485539"/>
    <w:rsid w:val="00485D04"/>
    <w:rsid w:val="00492DB3"/>
    <w:rsid w:val="004A7DB5"/>
    <w:rsid w:val="004B7801"/>
    <w:rsid w:val="004C2E91"/>
    <w:rsid w:val="004C6BDE"/>
    <w:rsid w:val="004E2E04"/>
    <w:rsid w:val="004E318E"/>
    <w:rsid w:val="004E79B9"/>
    <w:rsid w:val="00502CD2"/>
    <w:rsid w:val="0054093D"/>
    <w:rsid w:val="0054461A"/>
    <w:rsid w:val="0058413E"/>
    <w:rsid w:val="0058718F"/>
    <w:rsid w:val="005D0BF5"/>
    <w:rsid w:val="005D1CFE"/>
    <w:rsid w:val="005E2327"/>
    <w:rsid w:val="00601663"/>
    <w:rsid w:val="00604537"/>
    <w:rsid w:val="00623E96"/>
    <w:rsid w:val="006556BC"/>
    <w:rsid w:val="006574D7"/>
    <w:rsid w:val="0066217A"/>
    <w:rsid w:val="00662A4F"/>
    <w:rsid w:val="006678DC"/>
    <w:rsid w:val="00681E4F"/>
    <w:rsid w:val="006A0F7D"/>
    <w:rsid w:val="006A7925"/>
    <w:rsid w:val="006B3380"/>
    <w:rsid w:val="006B76B0"/>
    <w:rsid w:val="006D35A0"/>
    <w:rsid w:val="006D65BF"/>
    <w:rsid w:val="006E10E7"/>
    <w:rsid w:val="006F3A4C"/>
    <w:rsid w:val="006F45D7"/>
    <w:rsid w:val="0070085B"/>
    <w:rsid w:val="00716A2C"/>
    <w:rsid w:val="00727C27"/>
    <w:rsid w:val="00727D08"/>
    <w:rsid w:val="00736D41"/>
    <w:rsid w:val="00747503"/>
    <w:rsid w:val="00776ADA"/>
    <w:rsid w:val="007A31B4"/>
    <w:rsid w:val="007D1760"/>
    <w:rsid w:val="007E673E"/>
    <w:rsid w:val="007F0D19"/>
    <w:rsid w:val="00810D34"/>
    <w:rsid w:val="00816C10"/>
    <w:rsid w:val="00825F3B"/>
    <w:rsid w:val="008317A3"/>
    <w:rsid w:val="00847253"/>
    <w:rsid w:val="0085057A"/>
    <w:rsid w:val="00854F47"/>
    <w:rsid w:val="008824AA"/>
    <w:rsid w:val="00890B4F"/>
    <w:rsid w:val="00896041"/>
    <w:rsid w:val="0089692E"/>
    <w:rsid w:val="00897895"/>
    <w:rsid w:val="008A4B6F"/>
    <w:rsid w:val="008A7F2B"/>
    <w:rsid w:val="008C0600"/>
    <w:rsid w:val="008C1CCD"/>
    <w:rsid w:val="008E07C7"/>
    <w:rsid w:val="008E51E2"/>
    <w:rsid w:val="009158FB"/>
    <w:rsid w:val="00917530"/>
    <w:rsid w:val="00963267"/>
    <w:rsid w:val="009656B6"/>
    <w:rsid w:val="00971875"/>
    <w:rsid w:val="0097638C"/>
    <w:rsid w:val="009A6ECB"/>
    <w:rsid w:val="009B6A9F"/>
    <w:rsid w:val="009D728F"/>
    <w:rsid w:val="009F1CAC"/>
    <w:rsid w:val="00A1105B"/>
    <w:rsid w:val="00A12550"/>
    <w:rsid w:val="00A17205"/>
    <w:rsid w:val="00A31494"/>
    <w:rsid w:val="00A3437D"/>
    <w:rsid w:val="00A41E79"/>
    <w:rsid w:val="00A45707"/>
    <w:rsid w:val="00A50413"/>
    <w:rsid w:val="00A554A0"/>
    <w:rsid w:val="00A7122C"/>
    <w:rsid w:val="00A81200"/>
    <w:rsid w:val="00A82252"/>
    <w:rsid w:val="00A90909"/>
    <w:rsid w:val="00AA7AB9"/>
    <w:rsid w:val="00AB5549"/>
    <w:rsid w:val="00B0471D"/>
    <w:rsid w:val="00B071F7"/>
    <w:rsid w:val="00B81180"/>
    <w:rsid w:val="00B818AB"/>
    <w:rsid w:val="00BA1755"/>
    <w:rsid w:val="00BA7D69"/>
    <w:rsid w:val="00BC10BC"/>
    <w:rsid w:val="00BE1AD5"/>
    <w:rsid w:val="00BE1FD5"/>
    <w:rsid w:val="00BE3A82"/>
    <w:rsid w:val="00C01B06"/>
    <w:rsid w:val="00C064F5"/>
    <w:rsid w:val="00C06A6E"/>
    <w:rsid w:val="00C16157"/>
    <w:rsid w:val="00C17226"/>
    <w:rsid w:val="00C31D6A"/>
    <w:rsid w:val="00C372E5"/>
    <w:rsid w:val="00CA01F3"/>
    <w:rsid w:val="00CB4919"/>
    <w:rsid w:val="00CC54C5"/>
    <w:rsid w:val="00CD18DA"/>
    <w:rsid w:val="00CF31CF"/>
    <w:rsid w:val="00D12479"/>
    <w:rsid w:val="00D13C28"/>
    <w:rsid w:val="00D177B2"/>
    <w:rsid w:val="00D40288"/>
    <w:rsid w:val="00D47E5E"/>
    <w:rsid w:val="00D5214D"/>
    <w:rsid w:val="00D536C8"/>
    <w:rsid w:val="00D5556C"/>
    <w:rsid w:val="00D82B1D"/>
    <w:rsid w:val="00D92CA8"/>
    <w:rsid w:val="00DA1635"/>
    <w:rsid w:val="00DB1982"/>
    <w:rsid w:val="00DD1C1B"/>
    <w:rsid w:val="00DD4C5E"/>
    <w:rsid w:val="00DE1669"/>
    <w:rsid w:val="00DE4393"/>
    <w:rsid w:val="00DF4D66"/>
    <w:rsid w:val="00DF7152"/>
    <w:rsid w:val="00DF7EB3"/>
    <w:rsid w:val="00E1403C"/>
    <w:rsid w:val="00E17483"/>
    <w:rsid w:val="00E254AD"/>
    <w:rsid w:val="00E260F3"/>
    <w:rsid w:val="00E54AB4"/>
    <w:rsid w:val="00E63DDA"/>
    <w:rsid w:val="00E67983"/>
    <w:rsid w:val="00E86739"/>
    <w:rsid w:val="00E95DD5"/>
    <w:rsid w:val="00E97604"/>
    <w:rsid w:val="00EB093C"/>
    <w:rsid w:val="00EB27E8"/>
    <w:rsid w:val="00EB3444"/>
    <w:rsid w:val="00EE1ECB"/>
    <w:rsid w:val="00EF7B97"/>
    <w:rsid w:val="00F22DD9"/>
    <w:rsid w:val="00F24955"/>
    <w:rsid w:val="00F508A0"/>
    <w:rsid w:val="00F7173C"/>
    <w:rsid w:val="00F87C1F"/>
    <w:rsid w:val="00FA28E0"/>
    <w:rsid w:val="00FB24C8"/>
    <w:rsid w:val="00FE15C6"/>
    <w:rsid w:val="00FE430A"/>
    <w:rsid w:val="00FF77C0"/>
    <w:rsid w:val="01A32984"/>
    <w:rsid w:val="03764BC0"/>
    <w:rsid w:val="12DF27E1"/>
    <w:rsid w:val="241C6C12"/>
    <w:rsid w:val="26BD463E"/>
    <w:rsid w:val="523F1FF5"/>
    <w:rsid w:val="5309538A"/>
    <w:rsid w:val="679674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0"/>
    <w:lsdException w:name="header" w:semiHidden="0" w:qFormat="1"/>
    <w:lsdException w:name="footer" w:semiHidden="0"/>
    <w:lsdException w:name="caption" w:uiPriority="35" w:qFormat="1"/>
    <w:lsdException w:name="footnote reference" w:semiHidden="0"/>
    <w:lsdException w:name="endnote reference" w:semiHidden="0" w:qFormat="1"/>
    <w:lsdException w:name="endnote text" w:semiHidden="0" w:qFormat="1"/>
    <w:lsdException w:name="Title" w:semiHidden="0" w:uiPriority="10" w:unhideWhenUsed="0" w:qFormat="1"/>
    <w:lsdException w:name="Default Paragraph Font" w:uiPriority="1"/>
    <w:lsdException w:name="Body Text" w:semiHidden="0" w:uiPriority="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semiHidden="0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692E"/>
    <w:pPr>
      <w:widowControl w:val="0"/>
      <w:jc w:val="both"/>
    </w:pPr>
    <w:rPr>
      <w:rFonts w:ascii="Times New Roman" w:eastAsiaTheme="minorEastAsia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qFormat/>
    <w:rsid w:val="0089692E"/>
    <w:pPr>
      <w:widowControl/>
      <w:spacing w:after="240"/>
    </w:pPr>
    <w:rPr>
      <w:rFonts w:eastAsia="宋体" w:cs="Simplified Arabic"/>
      <w:kern w:val="0"/>
      <w:sz w:val="24"/>
      <w:szCs w:val="24"/>
      <w:lang w:eastAsia="en-GB" w:bidi="ar-AE"/>
    </w:rPr>
  </w:style>
  <w:style w:type="paragraph" w:styleId="a4">
    <w:name w:val="endnote text"/>
    <w:basedOn w:val="a"/>
    <w:link w:val="Char0"/>
    <w:uiPriority w:val="99"/>
    <w:unhideWhenUsed/>
    <w:qFormat/>
    <w:rsid w:val="0089692E"/>
    <w:pPr>
      <w:snapToGrid w:val="0"/>
      <w:jc w:val="left"/>
    </w:pPr>
  </w:style>
  <w:style w:type="paragraph" w:styleId="a5">
    <w:name w:val="Balloon Text"/>
    <w:basedOn w:val="a"/>
    <w:link w:val="Char1"/>
    <w:uiPriority w:val="99"/>
    <w:unhideWhenUsed/>
    <w:rsid w:val="0089692E"/>
    <w:rPr>
      <w:sz w:val="18"/>
      <w:szCs w:val="18"/>
    </w:rPr>
  </w:style>
  <w:style w:type="paragraph" w:styleId="a6">
    <w:name w:val="footer"/>
    <w:basedOn w:val="a"/>
    <w:link w:val="Char2"/>
    <w:uiPriority w:val="99"/>
    <w:unhideWhenUsed/>
    <w:rsid w:val="008969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3"/>
    <w:uiPriority w:val="99"/>
    <w:unhideWhenUsed/>
    <w:qFormat/>
    <w:rsid w:val="008969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note text"/>
    <w:basedOn w:val="a"/>
    <w:link w:val="Char4"/>
    <w:uiPriority w:val="99"/>
    <w:unhideWhenUsed/>
    <w:rsid w:val="0089692E"/>
    <w:pPr>
      <w:snapToGrid w:val="0"/>
      <w:jc w:val="left"/>
    </w:pPr>
    <w:rPr>
      <w:sz w:val="18"/>
      <w:szCs w:val="18"/>
    </w:rPr>
  </w:style>
  <w:style w:type="paragraph" w:styleId="a9">
    <w:name w:val="Normal (Web)"/>
    <w:basedOn w:val="a"/>
    <w:uiPriority w:val="99"/>
    <w:unhideWhenUsed/>
    <w:rsid w:val="0089692E"/>
    <w:rPr>
      <w:rFonts w:eastAsia="宋体"/>
      <w:sz w:val="24"/>
      <w:szCs w:val="24"/>
    </w:rPr>
  </w:style>
  <w:style w:type="character" w:styleId="aa">
    <w:name w:val="endnote reference"/>
    <w:uiPriority w:val="99"/>
    <w:unhideWhenUsed/>
    <w:qFormat/>
    <w:rsid w:val="0089692E"/>
    <w:rPr>
      <w:vertAlign w:val="superscript"/>
    </w:rPr>
  </w:style>
  <w:style w:type="character" w:styleId="ab">
    <w:name w:val="footnote reference"/>
    <w:uiPriority w:val="99"/>
    <w:unhideWhenUsed/>
    <w:rsid w:val="0089692E"/>
    <w:rPr>
      <w:vertAlign w:val="superscript"/>
    </w:rPr>
  </w:style>
  <w:style w:type="table" w:styleId="ac">
    <w:name w:val="Table Grid"/>
    <w:basedOn w:val="a1"/>
    <w:uiPriority w:val="59"/>
    <w:rsid w:val="0089692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尾注文本 Char"/>
    <w:basedOn w:val="a0"/>
    <w:link w:val="a4"/>
    <w:uiPriority w:val="99"/>
    <w:semiHidden/>
    <w:rsid w:val="0089692E"/>
  </w:style>
  <w:style w:type="character" w:customStyle="1" w:styleId="Char3">
    <w:name w:val="页眉 Char"/>
    <w:link w:val="a7"/>
    <w:uiPriority w:val="99"/>
    <w:qFormat/>
    <w:rsid w:val="0089692E"/>
    <w:rPr>
      <w:sz w:val="18"/>
      <w:szCs w:val="18"/>
    </w:rPr>
  </w:style>
  <w:style w:type="character" w:customStyle="1" w:styleId="Char2">
    <w:name w:val="页脚 Char"/>
    <w:link w:val="a6"/>
    <w:uiPriority w:val="99"/>
    <w:rsid w:val="0089692E"/>
    <w:rPr>
      <w:sz w:val="18"/>
      <w:szCs w:val="18"/>
    </w:rPr>
  </w:style>
  <w:style w:type="character" w:customStyle="1" w:styleId="Char4">
    <w:name w:val="脚注文本 Char"/>
    <w:link w:val="a8"/>
    <w:uiPriority w:val="99"/>
    <w:semiHidden/>
    <w:qFormat/>
    <w:rsid w:val="0089692E"/>
    <w:rPr>
      <w:rFonts w:ascii="Times New Roman" w:hAnsi="Times New Roman"/>
      <w:kern w:val="2"/>
      <w:sz w:val="18"/>
      <w:szCs w:val="18"/>
    </w:rPr>
  </w:style>
  <w:style w:type="character" w:customStyle="1" w:styleId="apple-converted-space">
    <w:name w:val="apple-converted-space"/>
    <w:basedOn w:val="a0"/>
    <w:rsid w:val="0089692E"/>
  </w:style>
  <w:style w:type="character" w:customStyle="1" w:styleId="Char1">
    <w:name w:val="批注框文本 Char"/>
    <w:basedOn w:val="a0"/>
    <w:link w:val="a5"/>
    <w:uiPriority w:val="99"/>
    <w:semiHidden/>
    <w:qFormat/>
    <w:rsid w:val="0089692E"/>
    <w:rPr>
      <w:rFonts w:ascii="Times New Roman" w:hAnsi="Times New Roman"/>
      <w:kern w:val="2"/>
      <w:sz w:val="18"/>
      <w:szCs w:val="18"/>
    </w:rPr>
  </w:style>
  <w:style w:type="paragraph" w:customStyle="1" w:styleId="AMLNotifyCont3">
    <w:name w:val="AMLNotify Cont 3"/>
    <w:basedOn w:val="a"/>
    <w:rsid w:val="0089692E"/>
    <w:pPr>
      <w:widowControl/>
      <w:spacing w:after="240"/>
    </w:pPr>
    <w:rPr>
      <w:rFonts w:eastAsia="Times New Roman"/>
      <w:kern w:val="0"/>
      <w:sz w:val="24"/>
      <w:szCs w:val="20"/>
      <w:lang w:eastAsia="en-GB"/>
    </w:rPr>
  </w:style>
  <w:style w:type="paragraph" w:customStyle="1" w:styleId="DocId">
    <w:name w:val="DocId"/>
    <w:basedOn w:val="a6"/>
    <w:rsid w:val="0089692E"/>
    <w:pPr>
      <w:widowControl/>
      <w:tabs>
        <w:tab w:val="clear" w:pos="4153"/>
        <w:tab w:val="clear" w:pos="8306"/>
        <w:tab w:val="center" w:pos="4680"/>
        <w:tab w:val="right" w:pos="9360"/>
      </w:tabs>
      <w:snapToGrid/>
    </w:pPr>
    <w:rPr>
      <w:rFonts w:cstheme="minorBidi"/>
      <w:kern w:val="0"/>
      <w:sz w:val="16"/>
      <w:szCs w:val="16"/>
      <w:lang w:eastAsia="en-US"/>
    </w:rPr>
  </w:style>
  <w:style w:type="paragraph" w:customStyle="1" w:styleId="1">
    <w:name w:val="修订1"/>
    <w:hidden/>
    <w:uiPriority w:val="99"/>
    <w:semiHidden/>
    <w:rsid w:val="0089692E"/>
    <w:rPr>
      <w:rFonts w:ascii="Times New Roman" w:eastAsiaTheme="minorEastAsia" w:hAnsi="Times New Roman"/>
      <w:kern w:val="2"/>
      <w:sz w:val="21"/>
      <w:szCs w:val="22"/>
    </w:rPr>
  </w:style>
  <w:style w:type="character" w:customStyle="1" w:styleId="Draftline">
    <w:name w:val="Draftline"/>
    <w:rsid w:val="0089692E"/>
    <w:rPr>
      <w:rFonts w:ascii="Times New Roman" w:eastAsia="仿宋_GB2312" w:hAnsi="Times New Roman" w:cs="Times New Roman"/>
      <w:vanish/>
      <w:color w:val="FF0000"/>
      <w:spacing w:val="0"/>
      <w:w w:val="100"/>
      <w:kern w:val="0"/>
      <w:sz w:val="15"/>
      <w:szCs w:val="28"/>
      <w:u w:val="none"/>
      <w:vertAlign w:val="baseline"/>
    </w:rPr>
  </w:style>
  <w:style w:type="paragraph" w:customStyle="1" w:styleId="FooterB">
    <w:name w:val="Footer B"/>
    <w:link w:val="FooterBChar"/>
    <w:qFormat/>
    <w:rsid w:val="0089692E"/>
    <w:pPr>
      <w:tabs>
        <w:tab w:val="center" w:pos="4320"/>
        <w:tab w:val="right" w:pos="8640"/>
      </w:tabs>
    </w:pPr>
    <w:rPr>
      <w:rFonts w:ascii="Times New Roman" w:eastAsia="仿宋_GB2312" w:hAnsi="Times New Roman"/>
      <w:sz w:val="15"/>
      <w:szCs w:val="28"/>
    </w:rPr>
  </w:style>
  <w:style w:type="character" w:customStyle="1" w:styleId="FooterBChar">
    <w:name w:val="Footer B Char"/>
    <w:basedOn w:val="a0"/>
    <w:link w:val="FooterB"/>
    <w:qFormat/>
    <w:rsid w:val="0089692E"/>
    <w:rPr>
      <w:rFonts w:ascii="Times New Roman" w:eastAsia="仿宋_GB2312" w:hAnsi="Times New Roman"/>
      <w:sz w:val="15"/>
      <w:szCs w:val="28"/>
    </w:rPr>
  </w:style>
  <w:style w:type="character" w:customStyle="1" w:styleId="Char">
    <w:name w:val="正文文本 Char"/>
    <w:basedOn w:val="a0"/>
    <w:link w:val="a3"/>
    <w:rsid w:val="0089692E"/>
    <w:rPr>
      <w:rFonts w:ascii="Times New Roman" w:eastAsia="宋体" w:hAnsi="Times New Roman" w:cs="Simplified Arabic"/>
      <w:sz w:val="24"/>
      <w:szCs w:val="24"/>
      <w:lang w:eastAsia="en-GB" w:bidi="ar-AE"/>
    </w:rPr>
  </w:style>
  <w:style w:type="paragraph" w:customStyle="1" w:styleId="10">
    <w:name w:val="列出段落1"/>
    <w:basedOn w:val="a"/>
    <w:uiPriority w:val="99"/>
    <w:rsid w:val="0089692E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160</Words>
  <Characters>913</Characters>
  <Application>Microsoft Office Word</Application>
  <DocSecurity>0</DocSecurity>
  <Lines>7</Lines>
  <Paragraphs>2</Paragraphs>
  <ScaleCrop>false</ScaleCrop>
  <Company>CGSH</Company>
  <LinksUpToDate>false</LinksUpToDate>
  <CharactersWithSpaces>1071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Yang Zhan</cp:lastModifiedBy>
  <cp:revision>14</cp:revision>
  <cp:lastPrinted>2014-11-07T03:51:00Z</cp:lastPrinted>
  <dcterms:created xsi:type="dcterms:W3CDTF">2016-12-08T04:26:00Z</dcterms:created>
  <dcterms:modified xsi:type="dcterms:W3CDTF">2017-01-10T04:02:00Z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DOCID">
    <vt:lpwstr>[BRUSSELS 621754_4]</vt:lpwstr>
  </property>
  <property fmtid="{D5CDD505-2E9C-101B-9397-08002B2CF9AE}" pid="3" name="DocXLocation">
    <vt:lpwstr>Every Page</vt:lpwstr>
  </property>
  <property fmtid="{D5CDD505-2E9C-101B-9397-08002B2CF9AE}" pid="4" name="DocXFormat">
    <vt:lpwstr>CGSH</vt:lpwstr>
  </property>
  <property fmtid="{D5CDD505-2E9C-101B-9397-08002B2CF9AE}" pid="5" name="Client">
    <vt:lpwstr>0066874</vt:lpwstr>
  </property>
  <property fmtid="{D5CDD505-2E9C-101B-9397-08002B2CF9AE}" pid="6" name="Matter">
    <vt:lpwstr>0000009</vt:lpwstr>
  </property>
  <property fmtid="{D5CDD505-2E9C-101B-9397-08002B2CF9AE}" pid="7" name="cpClientMatter">
    <vt:lpwstr>0066874-0000009</vt:lpwstr>
  </property>
  <property fmtid="{D5CDD505-2E9C-101B-9397-08002B2CF9AE}" pid="8" name="cpDocRef">
    <vt:lpwstr>CO:23073691.1</vt:lpwstr>
  </property>
  <property fmtid="{D5CDD505-2E9C-101B-9397-08002B2CF9AE}" pid="9" name="cpCombinedRef">
    <vt:lpwstr>0066874-0000009 CO:23073691.1</vt:lpwstr>
  </property>
  <property fmtid="{D5CDD505-2E9C-101B-9397-08002B2CF9AE}" pid="10" name="ContentTypeId">
    <vt:lpwstr>0x0101008E2A78AE2DDD7C4494E2F8EB84825A6F007F7DFB3CA4D78A4687FE4D1BF93641D5</vt:lpwstr>
  </property>
  <property fmtid="{D5CDD505-2E9C-101B-9397-08002B2CF9AE}" pid="11" name="_NewReviewCycle">
    <vt:lpwstr/>
  </property>
  <property fmtid="{D5CDD505-2E9C-101B-9397-08002B2CF9AE}" pid="12" name="KSOProductBuildVer">
    <vt:lpwstr>2052-10.1.0.6135</vt:lpwstr>
  </property>
</Properties>
</file>