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EAA" w:rsidRPr="0093768E" w:rsidRDefault="00CF1EC0">
      <w:pPr>
        <w:spacing w:line="440" w:lineRule="exact"/>
        <w:jc w:val="center"/>
        <w:rPr>
          <w:rFonts w:asciiTheme="minorEastAsia" w:eastAsiaTheme="minorEastAsia" w:hAnsiTheme="minorEastAsia" w:cs="Times New Roman"/>
          <w:b/>
          <w:sz w:val="32"/>
          <w:szCs w:val="32"/>
          <w:lang w:eastAsia="zh-CN"/>
        </w:rPr>
      </w:pPr>
      <w:r w:rsidRPr="0093768E">
        <w:rPr>
          <w:rFonts w:asciiTheme="minorEastAsia" w:eastAsiaTheme="minorEastAsia" w:hAnsiTheme="minorEastAsia" w:cs="Times New Roman"/>
          <w:b/>
          <w:bCs/>
          <w:sz w:val="32"/>
          <w:szCs w:val="32"/>
          <w:lang w:val="zh-TW" w:eastAsia="zh-TW"/>
        </w:rPr>
        <w:t>经营者集中简易案件公示表</w:t>
      </w:r>
    </w:p>
    <w:p w:rsidR="000D7EAA" w:rsidRPr="0093768E" w:rsidRDefault="000D7EAA">
      <w:pPr>
        <w:spacing w:line="440" w:lineRule="exact"/>
        <w:rPr>
          <w:rFonts w:asciiTheme="minorEastAsia" w:eastAsiaTheme="minorEastAsia" w:hAnsiTheme="minorEastAsia" w:cs="Times New Roman"/>
          <w:sz w:val="24"/>
          <w:szCs w:val="24"/>
          <w:lang w:eastAsia="zh-CN"/>
        </w:rPr>
      </w:pPr>
    </w:p>
    <w:tbl>
      <w:tblPr>
        <w:tblStyle w:val="TableNormal"/>
        <w:tblW w:w="875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D7EAA" w:rsidRPr="0093768E">
        <w:trPr>
          <w:trHeight w:val="69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pStyle w:val="A5"/>
              <w:widowControl/>
              <w:rPr>
                <w:rFonts w:asciiTheme="minorEastAsia" w:eastAsiaTheme="minorEastAsia" w:hAnsiTheme="minorEastAsia" w:cs="Times New Roman" w:hint="default"/>
                <w:sz w:val="24"/>
                <w:szCs w:val="24"/>
              </w:rPr>
            </w:pPr>
            <w:r w:rsidRPr="0093768E">
              <w:rPr>
                <w:rFonts w:asciiTheme="minorEastAsia" w:eastAsiaTheme="minorEastAsia" w:hAnsiTheme="minorEastAsia" w:cs="Times New Roman" w:hint="default"/>
                <w:kern w:val="0"/>
                <w:sz w:val="24"/>
                <w:szCs w:val="24"/>
                <w:lang w:val="zh-TW" w:eastAsia="zh-TW"/>
              </w:rPr>
              <w:t>株式会社日立制作所和</w:t>
            </w:r>
            <w:r w:rsidRPr="0093768E">
              <w:rPr>
                <w:rFonts w:asciiTheme="minorEastAsia" w:eastAsiaTheme="minorEastAsia" w:hAnsiTheme="minorEastAsia" w:cs="Times New Roman" w:hint="default"/>
                <w:kern w:val="0"/>
                <w:sz w:val="24"/>
                <w:szCs w:val="24"/>
              </w:rPr>
              <w:t>HVJ</w:t>
            </w:r>
            <w:r w:rsidRPr="0093768E">
              <w:rPr>
                <w:rFonts w:asciiTheme="minorEastAsia" w:eastAsiaTheme="minorEastAsia" w:hAnsiTheme="minorEastAsia" w:cs="Times New Roman" w:hint="default"/>
                <w:kern w:val="0"/>
                <w:sz w:val="24"/>
                <w:szCs w:val="24"/>
                <w:lang w:val="zh-TW" w:eastAsia="zh-TW"/>
              </w:rPr>
              <w:t>控股有限公司收购株式会社日立国际电气股权案</w:t>
            </w:r>
          </w:p>
        </w:tc>
      </w:tr>
      <w:tr w:rsidR="000D7EAA" w:rsidRPr="0093768E" w:rsidTr="00B144E7">
        <w:trPr>
          <w:trHeight w:val="1862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交易概况（限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200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E47DB2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  <w:r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本次集中涉及株式会社日立制作所（“日立”）和HVJ控股有限公司（“HVJ”）收购株式会社日立国际电气（“日立国际电气”）一定比例的股份。交易结束后，日立国际电气</w:t>
            </w:r>
            <w:r w:rsidR="00E5063B"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的股权</w:t>
            </w:r>
            <w:r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将由HKE</w:t>
            </w:r>
            <w:r w:rsidR="00052D58"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控股合同会社</w:t>
            </w:r>
            <w:r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（KKR为交易所设立的一家特殊目的公司）、HVJ</w:t>
            </w:r>
            <w:r w:rsidR="00E5063B"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和日立共同持有</w:t>
            </w:r>
            <w:r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>。</w:t>
            </w:r>
          </w:p>
        </w:tc>
      </w:tr>
      <w:tr w:rsidR="000D7EAA" w:rsidRPr="0093768E" w:rsidTr="00AD3D47">
        <w:trPr>
          <w:trHeight w:val="956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1、KKR</w:t>
            </w: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AD3D47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KKR是一家全球性的资产管理公司，向公众和私人市场投资者提供广泛的另类资产管理服务，并为自身、其投资组合公司以及其他客户提供资本市场解决方案。</w:t>
            </w:r>
          </w:p>
        </w:tc>
      </w:tr>
      <w:tr w:rsidR="000D7EAA" w:rsidRPr="0093768E" w:rsidTr="00AD3D47">
        <w:trPr>
          <w:trHeight w:val="1529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>2、日立</w:t>
            </w: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AD3D47">
            <w:pPr>
              <w:widowControl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u w:color="FF0000"/>
                <w:lang w:val="zh-TW" w:eastAsia="zh-TW"/>
              </w:rPr>
              <w:t>日立是一家高度多元化的公司，经营八个业务分部：信息和电信系统、社会基础设施和工业系统、电子系统和设备、施工机械、高性能材料和元件、汽车系统、智能生活和环保系统等。</w:t>
            </w:r>
          </w:p>
        </w:tc>
      </w:tr>
      <w:tr w:rsidR="000D7EAA" w:rsidRPr="0093768E" w:rsidTr="00AD3D47">
        <w:trPr>
          <w:trHeight w:val="788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</w:rPr>
              <w:t>3、HVJ</w:t>
            </w: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AD3D47">
            <w:pPr>
              <w:pStyle w:val="A5"/>
              <w:widowControl/>
              <w:rPr>
                <w:rFonts w:asciiTheme="minorEastAsia" w:eastAsiaTheme="minorEastAsia" w:hAnsiTheme="minorEastAsia" w:cs="Times New Roman" w:hint="default"/>
                <w:sz w:val="24"/>
                <w:szCs w:val="24"/>
              </w:rPr>
            </w:pP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</w:rPr>
              <w:t>HVJ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  <w:lang w:val="zh-TW" w:eastAsia="zh-TW"/>
              </w:rPr>
              <w:t>由日本产业投资基金株式会社（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</w:rPr>
              <w:t>Japan Industrial Partners, Inc.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  <w:lang w:val="zh-TW" w:eastAsia="zh-TW"/>
              </w:rPr>
              <w:t>）于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</w:rPr>
              <w:t>2017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  <w:lang w:val="zh-TW" w:eastAsia="zh-TW"/>
              </w:rPr>
              <w:t>年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</w:rPr>
              <w:t>4</w:t>
            </w:r>
            <w:r w:rsidR="006A3CF8"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/>
              </w:rPr>
              <w:t>月</w:t>
            </w:r>
            <w:r w:rsidRPr="0093768E">
              <w:rPr>
                <w:rFonts w:asciiTheme="minorEastAsia" w:eastAsiaTheme="minorEastAsia" w:hAnsiTheme="minorEastAsia" w:cs="Times New Roman" w:hint="default"/>
                <w:sz w:val="24"/>
                <w:szCs w:val="24"/>
                <w:lang w:val="zh-TW" w:eastAsia="zh-TW"/>
              </w:rPr>
              <w:t>设立，用于持有日立国际电气的股份。</w:t>
            </w:r>
          </w:p>
        </w:tc>
      </w:tr>
      <w:tr w:rsidR="000D7EAA" w:rsidRPr="0093768E" w:rsidTr="00AD3D47">
        <w:trPr>
          <w:trHeight w:val="690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简易案件理由（可多选）</w:t>
            </w: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◻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>1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、在同一相关市场，所有参与集中的经营者所占市场份额之和小于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>15%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。</w:t>
            </w:r>
          </w:p>
        </w:tc>
      </w:tr>
      <w:tr w:rsidR="000D7EAA" w:rsidRPr="0093768E" w:rsidTr="000847B3">
        <w:trPr>
          <w:trHeight w:val="706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◻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 xml:space="preserve"> 2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、存在上下游关系的参与集中的经营者，在上下游市场所占的市场份额均小于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>25%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。</w:t>
            </w:r>
          </w:p>
        </w:tc>
      </w:tr>
      <w:tr w:rsidR="000D7EAA" w:rsidRPr="0093768E">
        <w:trPr>
          <w:trHeight w:val="767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="MS Mincho" w:eastAsia="MS Mincho" w:hAnsi="MS Mincho" w:cs="MS Mincho" w:hint="eastAsia"/>
                <w:sz w:val="24"/>
                <w:szCs w:val="24"/>
                <w:lang w:eastAsia="zh-CN"/>
              </w:rPr>
              <w:t>☑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 xml:space="preserve"> 3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、不在同一相关市场、也不存在上下游关系的参与集中的经营者，在与交易有关的每个市场所占的份额均小于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>25%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。</w:t>
            </w:r>
          </w:p>
        </w:tc>
      </w:tr>
      <w:tr w:rsidR="000D7EAA" w:rsidRPr="0093768E" w:rsidTr="000847B3">
        <w:trPr>
          <w:trHeight w:val="624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◻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 xml:space="preserve"> 4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、参与集中的经营者在中国境外设立合营企业，合营企业不在中国境内从事经济活动。</w:t>
            </w:r>
          </w:p>
        </w:tc>
      </w:tr>
      <w:tr w:rsidR="000D7EAA" w:rsidRPr="0093768E" w:rsidTr="000847B3">
        <w:trPr>
          <w:trHeight w:val="478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4E6514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="宋体" w:eastAsia="宋体" w:hAnsi="宋体" w:cs="宋体" w:hint="eastAsia"/>
                <w:color w:val="auto"/>
                <w:sz w:val="24"/>
                <w:szCs w:val="24"/>
                <w:bdr w:val="none" w:sz="0" w:space="0" w:color="auto"/>
                <w:lang w:eastAsia="zh-CN"/>
              </w:rPr>
              <w:t>◻</w:t>
            </w:r>
            <w:r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t xml:space="preserve"> 5、参与集中的经营者收购境外企业股权或资产的，该境外企</w:t>
            </w:r>
            <w:r w:rsidRPr="0093768E">
              <w:rPr>
                <w:rFonts w:asciiTheme="minorEastAsia" w:eastAsiaTheme="minorEastAsia" w:hAnsiTheme="minorEastAsia" w:cs="Times New Roman"/>
                <w:color w:val="auto"/>
                <w:sz w:val="24"/>
                <w:szCs w:val="24"/>
                <w:bdr w:val="none" w:sz="0" w:space="0" w:color="auto"/>
                <w:lang w:eastAsia="zh-CN"/>
              </w:rPr>
              <w:lastRenderedPageBreak/>
              <w:t>业不在中国境内从事经济活动。</w:t>
            </w:r>
          </w:p>
        </w:tc>
      </w:tr>
      <w:tr w:rsidR="000D7EAA" w:rsidRPr="0093768E">
        <w:trPr>
          <w:trHeight w:val="724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7EAA" w:rsidRPr="0093768E" w:rsidRDefault="000D7EAA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 w:rsidP="00F8381C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◻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  <w:t xml:space="preserve"> 6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、由两个以上的经营者共同控制的合营企业，通过集中被其中一个或一个以上经营者控制。</w:t>
            </w:r>
          </w:p>
        </w:tc>
      </w:tr>
      <w:tr w:rsidR="000D7EAA" w:rsidRPr="0093768E">
        <w:trPr>
          <w:trHeight w:val="277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7EAA" w:rsidRPr="0093768E" w:rsidRDefault="00CF1EC0">
            <w:pPr>
              <w:spacing w:line="360" w:lineRule="auto"/>
              <w:rPr>
                <w:rFonts w:asciiTheme="minorEastAsia" w:eastAsiaTheme="minorEastAsia" w:hAnsiTheme="minorEastAsia" w:cs="Times New Roman"/>
                <w:sz w:val="24"/>
                <w:szCs w:val="24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val="zh-TW" w:eastAsia="zh-TW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产品市场：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1</w:t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）无线灾害预警系统；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 xml:space="preserve"> 2</w:t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）视频安全系统；</w:t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CN"/>
              </w:rPr>
              <w:t>以及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3</w:t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）广播级摄像机。</w:t>
            </w: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上述相关产品的地域市场：全球市场</w:t>
            </w: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市场份额：</w:t>
            </w: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双方在相关市场的合并市场份额如下：</w:t>
            </w: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1.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ab/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无线灾害预警系统：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[1-5]%</w:t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；</w:t>
            </w: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2.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ab/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视频安全系统：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[</w:t>
            </w:r>
            <w:r w:rsidR="001E1657"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1</w:t>
            </w:r>
            <w:r w:rsidR="001E1657"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CN"/>
              </w:rPr>
              <w:t>-</w:t>
            </w:r>
            <w:r w:rsidR="001E1657"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5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]%;</w:t>
            </w:r>
          </w:p>
          <w:p w:rsidR="008A3F60" w:rsidRPr="0093768E" w:rsidRDefault="008A3F60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CN"/>
              </w:rPr>
            </w:pP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3.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ab/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广播级摄像机：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[</w:t>
            </w:r>
            <w:r w:rsidR="001E1657"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TW"/>
              </w:rPr>
              <w:t>＜</w:t>
            </w:r>
            <w:r w:rsidRPr="0093768E"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  <w:t>1]%</w:t>
            </w:r>
            <w:r w:rsidRPr="0093768E">
              <w:rPr>
                <w:rFonts w:asciiTheme="minorEastAsia" w:eastAsiaTheme="minorEastAsia" w:hAnsiTheme="minorEastAsia" w:cs="Times New Roman" w:hint="eastAsia"/>
                <w:sz w:val="24"/>
                <w:szCs w:val="24"/>
                <w:lang w:eastAsia="zh-CN"/>
              </w:rPr>
              <w:t>。</w:t>
            </w:r>
          </w:p>
          <w:p w:rsidR="000D7EAA" w:rsidRPr="0093768E" w:rsidRDefault="000D7EAA" w:rsidP="008A3F60">
            <w:pPr>
              <w:rPr>
                <w:rFonts w:asciiTheme="minorEastAsia" w:eastAsiaTheme="minorEastAsia" w:hAnsiTheme="minorEastAsia" w:cs="Times New Roman"/>
                <w:sz w:val="24"/>
                <w:szCs w:val="24"/>
                <w:lang w:eastAsia="zh-TW"/>
              </w:rPr>
            </w:pPr>
          </w:p>
        </w:tc>
      </w:tr>
    </w:tbl>
    <w:p w:rsidR="000D7EAA" w:rsidRPr="0093768E" w:rsidRDefault="000D7EAA" w:rsidP="0093768E">
      <w:pPr>
        <w:snapToGrid w:val="0"/>
        <w:spacing w:line="500" w:lineRule="exact"/>
        <w:rPr>
          <w:rFonts w:asciiTheme="minorEastAsia" w:eastAsiaTheme="minorEastAsia" w:hAnsiTheme="minorEastAsia" w:cs="Times New Roman"/>
          <w:lang w:eastAsia="zh-CN"/>
        </w:rPr>
      </w:pPr>
    </w:p>
    <w:p w:rsidR="0093768E" w:rsidRDefault="0093768E" w:rsidP="0093768E">
      <w:pPr>
        <w:snapToGrid w:val="0"/>
        <w:spacing w:line="240" w:lineRule="exact"/>
        <w:rPr>
          <w:rFonts w:ascii="楷体_GB2312" w:eastAsia="楷体_GB2312" w:hAnsi="宋体"/>
          <w:sz w:val="24"/>
          <w:szCs w:val="24"/>
        </w:rPr>
      </w:pPr>
      <w:bookmarkStart w:id="0" w:name="_GoBack"/>
      <w:r>
        <w:rPr>
          <w:rFonts w:ascii="楷体_GB2312" w:eastAsia="楷体_GB2312" w:hAnsi="宋体" w:hint="eastAsia"/>
          <w:sz w:val="24"/>
          <w:szCs w:val="24"/>
        </w:rPr>
        <w:t>注解：</w:t>
      </w:r>
    </w:p>
    <w:p w:rsidR="0093768E" w:rsidRDefault="0093768E" w:rsidP="0093768E">
      <w:pPr>
        <w:snapToGrid w:val="0"/>
        <w:spacing w:line="360" w:lineRule="auto"/>
        <w:ind w:firstLineChars="200" w:firstLine="480"/>
        <w:rPr>
          <w:rFonts w:ascii="楷体_GB2312" w:eastAsia="楷体_GB2312" w:hAnsi="宋体" w:hint="eastAsia"/>
          <w:sz w:val="24"/>
          <w:szCs w:val="24"/>
          <w:lang w:eastAsia="zh-CN"/>
        </w:rPr>
      </w:pPr>
      <w:r>
        <w:rPr>
          <w:rFonts w:ascii="楷体_GB2312" w:eastAsia="楷体_GB2312" w:hAnsi="宋体" w:hint="eastAsia"/>
          <w:sz w:val="24"/>
          <w:szCs w:val="24"/>
          <w:lang w:eastAsia="zh-CN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3768E" w:rsidRDefault="0093768E" w:rsidP="0093768E">
      <w:pPr>
        <w:snapToGrid w:val="0"/>
        <w:spacing w:line="360" w:lineRule="auto"/>
        <w:ind w:firstLineChars="200" w:firstLine="480"/>
        <w:rPr>
          <w:rFonts w:ascii="楷体_GB2312" w:eastAsia="楷体_GB2312" w:hAnsi="宋体" w:hint="eastAsia"/>
          <w:sz w:val="24"/>
          <w:szCs w:val="24"/>
          <w:lang w:eastAsia="zh-CN"/>
        </w:rPr>
      </w:pPr>
      <w:r>
        <w:rPr>
          <w:rFonts w:ascii="楷体_GB2312" w:eastAsia="楷体_GB2312" w:hAnsi="宋体" w:hint="eastAsia"/>
          <w:sz w:val="24"/>
          <w:szCs w:val="24"/>
          <w:lang w:eastAsia="zh-CN"/>
        </w:rPr>
        <w:t>2、申报方申请简易案件的理由是基于第4项、第5项时，无须在备注中说明相关市场和市场份额。</w:t>
      </w:r>
    </w:p>
    <w:p w:rsidR="0093768E" w:rsidRDefault="0093768E" w:rsidP="0093768E">
      <w:pPr>
        <w:snapToGrid w:val="0"/>
        <w:spacing w:line="360" w:lineRule="auto"/>
        <w:ind w:firstLineChars="200" w:firstLine="480"/>
        <w:rPr>
          <w:rFonts w:ascii="楷体_GB2312" w:eastAsia="楷体_GB2312" w:hAnsi="Times New Roman" w:hint="eastAsia"/>
          <w:sz w:val="28"/>
          <w:szCs w:val="28"/>
          <w:lang w:eastAsia="zh-CN"/>
        </w:rPr>
      </w:pPr>
      <w:r>
        <w:rPr>
          <w:rFonts w:ascii="楷体_GB2312" w:eastAsia="楷体_GB2312" w:hAnsi="宋体" w:hint="eastAsia"/>
          <w:sz w:val="24"/>
          <w:szCs w:val="24"/>
          <w:lang w:eastAsia="zh-CN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bookmarkEnd w:id="0"/>
    <w:p w:rsidR="008A3F60" w:rsidRPr="0093768E" w:rsidRDefault="008A3F60" w:rsidP="0093768E">
      <w:pPr>
        <w:spacing w:line="500" w:lineRule="exact"/>
        <w:ind w:firstLineChars="200" w:firstLine="420"/>
        <w:rPr>
          <w:rFonts w:asciiTheme="minorEastAsia" w:eastAsiaTheme="minorEastAsia" w:hAnsiTheme="minorEastAsia" w:cs="Times New Roman"/>
          <w:lang w:eastAsia="zh-CN"/>
        </w:rPr>
      </w:pPr>
    </w:p>
    <w:sectPr w:rsidR="008A3F60" w:rsidRPr="0093768E" w:rsidSect="001B48BC">
      <w:footerReference w:type="default" r:id="rId8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01B" w:rsidRDefault="00D1601B">
      <w:r>
        <w:separator/>
      </w:r>
    </w:p>
  </w:endnote>
  <w:endnote w:type="continuationSeparator" w:id="0">
    <w:p w:rsidR="00D1601B" w:rsidRDefault="00D16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680199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144E7" w:rsidRDefault="00B03230" w:rsidP="00B144E7">
            <w:pPr>
              <w:pStyle w:val="a9"/>
              <w:jc w:val="center"/>
            </w:pPr>
            <w:r>
              <w:rPr>
                <w:b/>
                <w:sz w:val="24"/>
                <w:szCs w:val="24"/>
              </w:rPr>
              <w:fldChar w:fldCharType="begin"/>
            </w:r>
            <w:r w:rsidR="00B144E7"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1601B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 w:rsidR="00B144E7"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 w:rsidR="00B144E7"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1601B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D7EAA" w:rsidRDefault="000D7EA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01B" w:rsidRDefault="00D1601B">
      <w:r>
        <w:separator/>
      </w:r>
    </w:p>
  </w:footnote>
  <w:footnote w:type="continuationSeparator" w:id="0">
    <w:p w:rsidR="00D1601B" w:rsidRDefault="00D16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B33632"/>
    <w:multiLevelType w:val="hybridMultilevel"/>
    <w:tmpl w:val="9828E2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EAA"/>
    <w:rsid w:val="00021AE0"/>
    <w:rsid w:val="00052D58"/>
    <w:rsid w:val="000548F1"/>
    <w:rsid w:val="000847B3"/>
    <w:rsid w:val="000B357E"/>
    <w:rsid w:val="000D7EAA"/>
    <w:rsid w:val="001A2910"/>
    <w:rsid w:val="001B48BC"/>
    <w:rsid w:val="001E1657"/>
    <w:rsid w:val="001F4C73"/>
    <w:rsid w:val="00205AFC"/>
    <w:rsid w:val="00314B65"/>
    <w:rsid w:val="0035164F"/>
    <w:rsid w:val="003B5BDB"/>
    <w:rsid w:val="004A5E33"/>
    <w:rsid w:val="004B1764"/>
    <w:rsid w:val="004D4946"/>
    <w:rsid w:val="004E6514"/>
    <w:rsid w:val="00571884"/>
    <w:rsid w:val="00584199"/>
    <w:rsid w:val="005A4A26"/>
    <w:rsid w:val="006A3CF8"/>
    <w:rsid w:val="006C122A"/>
    <w:rsid w:val="008A3F60"/>
    <w:rsid w:val="008D59F6"/>
    <w:rsid w:val="0093768E"/>
    <w:rsid w:val="00A25309"/>
    <w:rsid w:val="00AC0DC2"/>
    <w:rsid w:val="00AD3D47"/>
    <w:rsid w:val="00B03230"/>
    <w:rsid w:val="00B144E7"/>
    <w:rsid w:val="00B803C3"/>
    <w:rsid w:val="00C90A87"/>
    <w:rsid w:val="00CA668F"/>
    <w:rsid w:val="00CB368C"/>
    <w:rsid w:val="00CB5DF4"/>
    <w:rsid w:val="00CF1EC0"/>
    <w:rsid w:val="00D11986"/>
    <w:rsid w:val="00D1601B"/>
    <w:rsid w:val="00D51253"/>
    <w:rsid w:val="00D72ECC"/>
    <w:rsid w:val="00DE7B6D"/>
    <w:rsid w:val="00E47DB2"/>
    <w:rsid w:val="00E5063B"/>
    <w:rsid w:val="00F25AA2"/>
    <w:rsid w:val="00F8381C"/>
    <w:rsid w:val="00FA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B48BC"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B48BC"/>
    <w:rPr>
      <w:u w:val="single"/>
    </w:rPr>
  </w:style>
  <w:style w:type="table" w:customStyle="1" w:styleId="TableNormal">
    <w:name w:val="Table Normal"/>
    <w:rsid w:val="001B48B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1B48BC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A5">
    <w:name w:val="正文 A"/>
    <w:rsid w:val="001B48BC"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a6">
    <w:name w:val="List Paragraph"/>
    <w:basedOn w:val="a"/>
    <w:uiPriority w:val="34"/>
    <w:qFormat/>
    <w:rsid w:val="001F4C73"/>
    <w:pPr>
      <w:ind w:firstLineChars="200" w:firstLine="420"/>
    </w:pPr>
  </w:style>
  <w:style w:type="paragraph" w:styleId="a7">
    <w:name w:val="Balloon Text"/>
    <w:basedOn w:val="a"/>
    <w:link w:val="Char"/>
    <w:uiPriority w:val="99"/>
    <w:semiHidden/>
    <w:unhideWhenUsed/>
    <w:rsid w:val="00052D58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052D58"/>
    <w:rPr>
      <w:rFonts w:ascii="Calibri" w:eastAsia="Calibri" w:hAnsi="Calibri" w:cs="Calibri"/>
      <w:color w:val="000000"/>
      <w:kern w:val="2"/>
      <w:sz w:val="18"/>
      <w:szCs w:val="18"/>
      <w:u w:color="000000"/>
      <w:lang w:eastAsia="en-US"/>
    </w:rPr>
  </w:style>
  <w:style w:type="paragraph" w:styleId="a8">
    <w:name w:val="header"/>
    <w:basedOn w:val="a"/>
    <w:link w:val="Char0"/>
    <w:uiPriority w:val="99"/>
    <w:unhideWhenUsed/>
    <w:rsid w:val="00B144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B144E7"/>
    <w:rPr>
      <w:rFonts w:ascii="Calibri" w:eastAsia="Calibri" w:hAnsi="Calibri" w:cs="Calibri"/>
      <w:color w:val="000000"/>
      <w:kern w:val="2"/>
      <w:sz w:val="18"/>
      <w:szCs w:val="18"/>
      <w:u w:color="000000"/>
      <w:lang w:eastAsia="en-US"/>
    </w:rPr>
  </w:style>
  <w:style w:type="paragraph" w:styleId="a9">
    <w:name w:val="footer"/>
    <w:basedOn w:val="a"/>
    <w:link w:val="Char1"/>
    <w:uiPriority w:val="99"/>
    <w:unhideWhenUsed/>
    <w:rsid w:val="00B144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B144E7"/>
    <w:rPr>
      <w:rFonts w:ascii="Calibri" w:eastAsia="Calibri" w:hAnsi="Calibri" w:cs="Calibri"/>
      <w:color w:val="000000"/>
      <w:kern w:val="2"/>
      <w:sz w:val="18"/>
      <w:szCs w:val="18"/>
      <w:u w:color="00000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B48BC"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B48BC"/>
    <w:rPr>
      <w:u w:val="single"/>
    </w:rPr>
  </w:style>
  <w:style w:type="table" w:customStyle="1" w:styleId="TableNormal">
    <w:name w:val="Table Normal"/>
    <w:rsid w:val="001B48B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1B48BC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A5">
    <w:name w:val="正文 A"/>
    <w:rsid w:val="001B48BC"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a6">
    <w:name w:val="List Paragraph"/>
    <w:basedOn w:val="a"/>
    <w:uiPriority w:val="34"/>
    <w:qFormat/>
    <w:rsid w:val="001F4C73"/>
    <w:pPr>
      <w:ind w:firstLineChars="200" w:firstLine="420"/>
    </w:pPr>
  </w:style>
  <w:style w:type="paragraph" w:styleId="a7">
    <w:name w:val="Balloon Text"/>
    <w:basedOn w:val="a"/>
    <w:link w:val="Char"/>
    <w:uiPriority w:val="99"/>
    <w:semiHidden/>
    <w:unhideWhenUsed/>
    <w:rsid w:val="00052D58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052D58"/>
    <w:rPr>
      <w:rFonts w:ascii="Calibri" w:eastAsia="Calibri" w:hAnsi="Calibri" w:cs="Calibri"/>
      <w:color w:val="000000"/>
      <w:kern w:val="2"/>
      <w:sz w:val="18"/>
      <w:szCs w:val="18"/>
      <w:u w:color="000000"/>
      <w:lang w:eastAsia="en-US"/>
    </w:rPr>
  </w:style>
  <w:style w:type="paragraph" w:styleId="a8">
    <w:name w:val="header"/>
    <w:basedOn w:val="a"/>
    <w:link w:val="Char0"/>
    <w:uiPriority w:val="99"/>
    <w:unhideWhenUsed/>
    <w:rsid w:val="00B144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B144E7"/>
    <w:rPr>
      <w:rFonts w:ascii="Calibri" w:eastAsia="Calibri" w:hAnsi="Calibri" w:cs="Calibri"/>
      <w:color w:val="000000"/>
      <w:kern w:val="2"/>
      <w:sz w:val="18"/>
      <w:szCs w:val="18"/>
      <w:u w:color="000000"/>
      <w:lang w:eastAsia="en-US"/>
    </w:rPr>
  </w:style>
  <w:style w:type="paragraph" w:styleId="a9">
    <w:name w:val="footer"/>
    <w:basedOn w:val="a"/>
    <w:link w:val="Char1"/>
    <w:uiPriority w:val="99"/>
    <w:unhideWhenUsed/>
    <w:rsid w:val="00B144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B144E7"/>
    <w:rPr>
      <w:rFonts w:ascii="Calibri" w:eastAsia="Calibri" w:hAnsi="Calibri" w:cs="Calibri"/>
      <w:color w:val="000000"/>
      <w:kern w:val="2"/>
      <w:sz w:val="18"/>
      <w:szCs w:val="18"/>
      <w:u w:color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19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宋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fanyayun</dc:creator>
  <cp:lastModifiedBy>mofocm</cp:lastModifiedBy>
  <cp:revision>3</cp:revision>
  <cp:lastPrinted>2017-07-12T07:46:00Z</cp:lastPrinted>
  <dcterms:created xsi:type="dcterms:W3CDTF">2017-07-12T01:52:00Z</dcterms:created>
  <dcterms:modified xsi:type="dcterms:W3CDTF">2017-07-12T08:03:00Z</dcterms:modified>
</cp:coreProperties>
</file>