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67F8" w:rsidRDefault="000867F8" w:rsidP="00F85FEB">
      <w:pPr>
        <w:spacing w:before="50" w:afterLines="100" w:after="312"/>
        <w:jc w:val="center"/>
      </w:pPr>
      <w:bookmarkStart w:id="0" w:name="_GoBack"/>
      <w:bookmarkEnd w:id="0"/>
      <w:r w:rsidRPr="00FB4FF7">
        <w:rPr>
          <w:rFonts w:hint="eastAsia"/>
        </w:rPr>
        <w:t>经营者集中简易案件公示表</w:t>
      </w:r>
    </w:p>
    <w:p w:rsidR="000867F8" w:rsidRPr="00FB4FF7" w:rsidRDefault="000867F8" w:rsidP="00F85FEB">
      <w:pPr>
        <w:spacing w:before="50" w:afterLines="100" w:after="312"/>
        <w:jc w:val="both"/>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867F8" w:rsidRPr="00FB4FF7" w:rsidTr="006E4424">
        <w:tc>
          <w:tcPr>
            <w:tcW w:w="1809" w:type="dxa"/>
            <w:shd w:val="clear" w:color="auto" w:fill="D9D9D9"/>
          </w:tcPr>
          <w:p w:rsidR="000867F8" w:rsidRPr="00FB4FF7" w:rsidRDefault="000867F8" w:rsidP="00F85FEB">
            <w:pPr>
              <w:spacing w:before="50" w:afterLines="100" w:after="312"/>
              <w:jc w:val="both"/>
            </w:pPr>
            <w:r w:rsidRPr="00FB4FF7">
              <w:rPr>
                <w:rFonts w:hint="eastAsia"/>
              </w:rPr>
              <w:t>案件名称</w:t>
            </w:r>
          </w:p>
        </w:tc>
        <w:tc>
          <w:tcPr>
            <w:tcW w:w="6949" w:type="dxa"/>
            <w:gridSpan w:val="2"/>
          </w:tcPr>
          <w:p w:rsidR="000867F8" w:rsidRPr="00FB4FF7" w:rsidRDefault="000867F8" w:rsidP="00F85FEB">
            <w:pPr>
              <w:spacing w:before="50" w:afterLines="100" w:after="312"/>
              <w:jc w:val="both"/>
            </w:pPr>
            <w:r w:rsidRPr="00FB4FF7">
              <w:rPr>
                <w:rFonts w:hint="eastAsia"/>
              </w:rPr>
              <w:t>华域汽车系统股份有限公司收购上海信耀电子有限公司股权案</w:t>
            </w:r>
          </w:p>
        </w:tc>
      </w:tr>
      <w:tr w:rsidR="000867F8" w:rsidRPr="00FB4FF7" w:rsidTr="006E4424">
        <w:trPr>
          <w:trHeight w:val="993"/>
        </w:trPr>
        <w:tc>
          <w:tcPr>
            <w:tcW w:w="1809" w:type="dxa"/>
            <w:shd w:val="clear" w:color="auto" w:fill="D9D9D9"/>
          </w:tcPr>
          <w:p w:rsidR="000867F8" w:rsidRPr="00FB4FF7" w:rsidRDefault="000867F8" w:rsidP="00F85FEB">
            <w:pPr>
              <w:spacing w:before="50" w:afterLines="100" w:after="312"/>
              <w:jc w:val="both"/>
            </w:pPr>
            <w:r w:rsidRPr="00FB4FF7">
              <w:rPr>
                <w:rFonts w:hint="eastAsia"/>
              </w:rPr>
              <w:t>交易概况（限200字内）</w:t>
            </w:r>
          </w:p>
        </w:tc>
        <w:tc>
          <w:tcPr>
            <w:tcW w:w="6949" w:type="dxa"/>
            <w:gridSpan w:val="2"/>
          </w:tcPr>
          <w:p w:rsidR="000867F8" w:rsidRPr="00FB4FF7" w:rsidRDefault="000867F8" w:rsidP="00F85FEB">
            <w:pPr>
              <w:spacing w:before="50" w:afterLines="100" w:after="312"/>
              <w:jc w:val="both"/>
            </w:pPr>
            <w:r w:rsidRPr="00FB4FF7">
              <w:rPr>
                <w:rFonts w:hint="eastAsia"/>
              </w:rPr>
              <w:t>华域汽车系统股份有限公司拟通过其全资子公司华域汽车系统（上海）有限公司收购上海信耀电子有限公司</w:t>
            </w:r>
            <w:r w:rsidRPr="00FB4FF7">
              <w:t>80%的股权，进而获得对上海信耀电子有限公司的单独控制。</w:t>
            </w:r>
          </w:p>
        </w:tc>
      </w:tr>
      <w:tr w:rsidR="000867F8" w:rsidRPr="00FB4FF7" w:rsidTr="006E4424">
        <w:trPr>
          <w:trHeight w:val="468"/>
        </w:trPr>
        <w:tc>
          <w:tcPr>
            <w:tcW w:w="1809" w:type="dxa"/>
            <w:vMerge w:val="restart"/>
            <w:shd w:val="clear" w:color="auto" w:fill="D9D9D9"/>
          </w:tcPr>
          <w:p w:rsidR="000867F8" w:rsidRPr="00FB4FF7" w:rsidRDefault="000867F8" w:rsidP="00F85FEB">
            <w:pPr>
              <w:spacing w:before="50" w:afterLines="100" w:after="312"/>
              <w:jc w:val="both"/>
            </w:pPr>
            <w:r w:rsidRPr="00FB4FF7">
              <w:rPr>
                <w:rFonts w:hint="eastAsia"/>
              </w:rPr>
              <w:t>参与集中的经营者简介</w:t>
            </w:r>
          </w:p>
        </w:tc>
        <w:tc>
          <w:tcPr>
            <w:tcW w:w="1796" w:type="dxa"/>
          </w:tcPr>
          <w:p w:rsidR="000867F8" w:rsidRPr="00FB4FF7" w:rsidRDefault="000867F8" w:rsidP="00F85FEB">
            <w:pPr>
              <w:spacing w:before="50" w:afterLines="100" w:after="312"/>
              <w:jc w:val="both"/>
            </w:pPr>
            <w:r w:rsidRPr="00FB4FF7">
              <w:t>1、华域汽车系统股份有限公司</w:t>
            </w:r>
          </w:p>
        </w:tc>
        <w:tc>
          <w:tcPr>
            <w:tcW w:w="5153" w:type="dxa"/>
          </w:tcPr>
          <w:p w:rsidR="000867F8" w:rsidRPr="00FB4FF7" w:rsidRDefault="000867F8" w:rsidP="00F85FEB">
            <w:pPr>
              <w:spacing w:before="50" w:afterLines="100" w:after="312"/>
              <w:jc w:val="both"/>
            </w:pPr>
            <w:r w:rsidRPr="00FB4FF7">
              <w:rPr>
                <w:rFonts w:hint="eastAsia"/>
              </w:rPr>
              <w:t>华域汽车系统有限公司是上海证券交易所上市的公司。主要业务为包含乘用车车灯在内的汽车零部件的研发、生产及销售。</w:t>
            </w:r>
          </w:p>
        </w:tc>
      </w:tr>
      <w:tr w:rsidR="000867F8" w:rsidRPr="00FB4FF7" w:rsidTr="006E4424">
        <w:trPr>
          <w:trHeight w:val="404"/>
        </w:trPr>
        <w:tc>
          <w:tcPr>
            <w:tcW w:w="1809" w:type="dxa"/>
            <w:vMerge/>
            <w:shd w:val="clear" w:color="auto" w:fill="D9D9D9"/>
          </w:tcPr>
          <w:p w:rsidR="000867F8" w:rsidRPr="00FB4FF7" w:rsidRDefault="000867F8" w:rsidP="00F85FEB">
            <w:pPr>
              <w:spacing w:before="50" w:afterLines="100" w:after="312"/>
              <w:jc w:val="both"/>
            </w:pPr>
          </w:p>
        </w:tc>
        <w:tc>
          <w:tcPr>
            <w:tcW w:w="1796" w:type="dxa"/>
          </w:tcPr>
          <w:p w:rsidR="000867F8" w:rsidRPr="00FB4FF7" w:rsidRDefault="000867F8" w:rsidP="00F85FEB">
            <w:pPr>
              <w:spacing w:before="50" w:afterLines="100" w:after="312"/>
              <w:jc w:val="both"/>
            </w:pPr>
            <w:r w:rsidRPr="00FB4FF7">
              <w:t>2、上海信耀电子有限公司</w:t>
            </w:r>
          </w:p>
        </w:tc>
        <w:tc>
          <w:tcPr>
            <w:tcW w:w="5153" w:type="dxa"/>
          </w:tcPr>
          <w:p w:rsidR="000867F8" w:rsidRPr="00FB4FF7" w:rsidRDefault="000867F8" w:rsidP="00F85FEB">
            <w:pPr>
              <w:spacing w:before="50" w:afterLines="100" w:after="312"/>
              <w:jc w:val="both"/>
            </w:pPr>
            <w:r w:rsidRPr="00FB4FF7">
              <w:rPr>
                <w:rFonts w:hint="eastAsia"/>
              </w:rPr>
              <w:t>上海信耀电子有限公司是一家生产乘用车车灯零部件的公司，主要经营</w:t>
            </w:r>
            <w:r w:rsidRPr="00FB4FF7">
              <w:t>LED车灯控制模块总成。</w:t>
            </w:r>
          </w:p>
        </w:tc>
      </w:tr>
      <w:tr w:rsidR="000867F8" w:rsidRPr="00FB4FF7" w:rsidTr="006E4424">
        <w:trPr>
          <w:trHeight w:val="404"/>
        </w:trPr>
        <w:tc>
          <w:tcPr>
            <w:tcW w:w="1809" w:type="dxa"/>
            <w:vMerge/>
            <w:shd w:val="clear" w:color="auto" w:fill="D9D9D9"/>
          </w:tcPr>
          <w:p w:rsidR="000867F8" w:rsidRPr="00FB4FF7" w:rsidRDefault="000867F8" w:rsidP="00F85FEB">
            <w:pPr>
              <w:spacing w:before="50" w:afterLines="100" w:after="312"/>
              <w:jc w:val="both"/>
            </w:pPr>
          </w:p>
        </w:tc>
        <w:tc>
          <w:tcPr>
            <w:tcW w:w="1796" w:type="dxa"/>
          </w:tcPr>
          <w:p w:rsidR="000867F8" w:rsidRPr="00FB4FF7" w:rsidRDefault="000867F8" w:rsidP="00F85FEB">
            <w:pPr>
              <w:spacing w:before="50" w:afterLines="100" w:after="312"/>
              <w:jc w:val="both"/>
            </w:pPr>
            <w:r w:rsidRPr="00FB4FF7">
              <w:t>……</w:t>
            </w:r>
          </w:p>
        </w:tc>
        <w:tc>
          <w:tcPr>
            <w:tcW w:w="5153" w:type="dxa"/>
          </w:tcPr>
          <w:p w:rsidR="000867F8" w:rsidRPr="00FB4FF7" w:rsidRDefault="000867F8" w:rsidP="00F85FEB">
            <w:pPr>
              <w:spacing w:before="50" w:afterLines="100" w:after="312"/>
              <w:jc w:val="both"/>
            </w:pPr>
          </w:p>
        </w:tc>
      </w:tr>
      <w:tr w:rsidR="000867F8" w:rsidRPr="00FB4FF7" w:rsidTr="006E4424">
        <w:trPr>
          <w:trHeight w:val="279"/>
        </w:trPr>
        <w:tc>
          <w:tcPr>
            <w:tcW w:w="1809" w:type="dxa"/>
            <w:vMerge w:val="restart"/>
            <w:shd w:val="clear" w:color="auto" w:fill="D9D9D9"/>
          </w:tcPr>
          <w:p w:rsidR="000867F8" w:rsidRPr="00FB4FF7" w:rsidRDefault="000867F8" w:rsidP="00F85FEB">
            <w:pPr>
              <w:spacing w:before="50" w:afterLines="100" w:after="312"/>
              <w:jc w:val="both"/>
            </w:pPr>
            <w:r w:rsidRPr="00FB4FF7">
              <w:rPr>
                <w:rFonts w:hint="eastAsia"/>
              </w:rPr>
              <w:t>简易案件理由（可以单选，也可以多选）</w:t>
            </w:r>
          </w:p>
        </w:tc>
        <w:tc>
          <w:tcPr>
            <w:tcW w:w="6949" w:type="dxa"/>
            <w:gridSpan w:val="2"/>
          </w:tcPr>
          <w:p w:rsidR="000867F8" w:rsidRPr="00FB4FF7" w:rsidRDefault="000867F8" w:rsidP="00F85FEB">
            <w:pPr>
              <w:spacing w:before="50" w:afterLines="100" w:after="312"/>
              <w:jc w:val="both"/>
            </w:pPr>
            <w:r w:rsidRPr="00FB4FF7">
              <w:rPr>
                <w:rFonts w:hint="eastAsia"/>
              </w:rPr>
              <w:t>□</w:t>
            </w:r>
            <w:r w:rsidRPr="00FB4FF7">
              <w:t>1、在同一相关市场，所有参与集中的经营者所占市场份额之和小于15%。</w:t>
            </w:r>
          </w:p>
        </w:tc>
      </w:tr>
      <w:tr w:rsidR="000867F8" w:rsidRPr="00FB4FF7" w:rsidTr="006E4424">
        <w:trPr>
          <w:trHeight w:val="330"/>
        </w:trPr>
        <w:tc>
          <w:tcPr>
            <w:tcW w:w="1809" w:type="dxa"/>
            <w:vMerge/>
            <w:shd w:val="clear" w:color="auto" w:fill="D9D9D9"/>
          </w:tcPr>
          <w:p w:rsidR="000867F8" w:rsidRPr="00FB4FF7" w:rsidRDefault="000867F8" w:rsidP="00F85FEB">
            <w:pPr>
              <w:spacing w:before="50" w:afterLines="100" w:after="312"/>
              <w:jc w:val="both"/>
            </w:pPr>
          </w:p>
        </w:tc>
        <w:tc>
          <w:tcPr>
            <w:tcW w:w="6949" w:type="dxa"/>
            <w:gridSpan w:val="2"/>
          </w:tcPr>
          <w:p w:rsidR="000867F8" w:rsidRPr="00FB4FF7" w:rsidRDefault="000867F8" w:rsidP="00F85FEB">
            <w:pPr>
              <w:spacing w:before="50" w:afterLines="100" w:after="312"/>
              <w:jc w:val="both"/>
            </w:pPr>
            <w:r w:rsidRPr="00FB4FF7">
              <w:sym w:font="Wingdings" w:char="F0FE"/>
            </w:r>
            <w:r w:rsidRPr="00FB4FF7">
              <w:t>2、存在上下游关系的参与集中的经营者，在上下游市场所占的市场份额均小于25%。</w:t>
            </w:r>
          </w:p>
        </w:tc>
      </w:tr>
      <w:tr w:rsidR="000867F8" w:rsidRPr="00FB4FF7" w:rsidTr="006E4424">
        <w:trPr>
          <w:trHeight w:val="285"/>
        </w:trPr>
        <w:tc>
          <w:tcPr>
            <w:tcW w:w="1809" w:type="dxa"/>
            <w:vMerge/>
            <w:shd w:val="clear" w:color="auto" w:fill="D9D9D9"/>
          </w:tcPr>
          <w:p w:rsidR="000867F8" w:rsidRPr="00FB4FF7" w:rsidRDefault="000867F8" w:rsidP="00F85FEB">
            <w:pPr>
              <w:spacing w:before="50" w:afterLines="100" w:after="312"/>
              <w:jc w:val="both"/>
            </w:pPr>
          </w:p>
        </w:tc>
        <w:tc>
          <w:tcPr>
            <w:tcW w:w="6949" w:type="dxa"/>
            <w:gridSpan w:val="2"/>
          </w:tcPr>
          <w:p w:rsidR="000867F8" w:rsidRPr="00FB4FF7" w:rsidRDefault="000867F8" w:rsidP="00F85FEB">
            <w:pPr>
              <w:spacing w:before="50" w:afterLines="100" w:after="312"/>
              <w:jc w:val="both"/>
            </w:pPr>
            <w:r w:rsidRPr="00FB4FF7">
              <w:rPr>
                <w:rFonts w:hint="eastAsia"/>
              </w:rPr>
              <w:t>□</w:t>
            </w:r>
            <w:r w:rsidRPr="00FB4FF7">
              <w:t>3、不在同一相关市场、也不存在上下游关系的参与集中的经营者，在与交易有关的每个市场所占的份额均小于25%。</w:t>
            </w:r>
          </w:p>
        </w:tc>
      </w:tr>
      <w:tr w:rsidR="000867F8" w:rsidRPr="00FB4FF7" w:rsidTr="006E4424">
        <w:trPr>
          <w:trHeight w:val="870"/>
        </w:trPr>
        <w:tc>
          <w:tcPr>
            <w:tcW w:w="1809" w:type="dxa"/>
            <w:vMerge/>
            <w:shd w:val="clear" w:color="auto" w:fill="D9D9D9"/>
          </w:tcPr>
          <w:p w:rsidR="000867F8" w:rsidRPr="00FB4FF7" w:rsidRDefault="000867F8" w:rsidP="00F85FEB">
            <w:pPr>
              <w:spacing w:before="50" w:afterLines="100" w:after="312"/>
              <w:jc w:val="both"/>
            </w:pPr>
          </w:p>
        </w:tc>
        <w:tc>
          <w:tcPr>
            <w:tcW w:w="6949" w:type="dxa"/>
            <w:gridSpan w:val="2"/>
          </w:tcPr>
          <w:p w:rsidR="000867F8" w:rsidRPr="00FB4FF7" w:rsidRDefault="000867F8" w:rsidP="00F85FEB">
            <w:pPr>
              <w:spacing w:before="50" w:afterLines="100" w:after="312"/>
              <w:jc w:val="both"/>
            </w:pPr>
            <w:r w:rsidRPr="00FB4FF7">
              <w:rPr>
                <w:rFonts w:hint="eastAsia"/>
              </w:rPr>
              <w:t>□</w:t>
            </w:r>
            <w:r w:rsidRPr="00FB4FF7">
              <w:t>4、参与集中的经营者在中国境外设立合营企业，合营企业不在中国境内从事经济活动。</w:t>
            </w:r>
          </w:p>
        </w:tc>
      </w:tr>
      <w:tr w:rsidR="000867F8" w:rsidRPr="00FB4FF7" w:rsidTr="006E4424">
        <w:trPr>
          <w:trHeight w:val="264"/>
        </w:trPr>
        <w:tc>
          <w:tcPr>
            <w:tcW w:w="1809" w:type="dxa"/>
            <w:vMerge/>
            <w:shd w:val="clear" w:color="auto" w:fill="D9D9D9"/>
          </w:tcPr>
          <w:p w:rsidR="000867F8" w:rsidRPr="00FB4FF7" w:rsidRDefault="000867F8" w:rsidP="00F85FEB">
            <w:pPr>
              <w:spacing w:before="50" w:afterLines="100" w:after="312"/>
              <w:jc w:val="both"/>
            </w:pPr>
          </w:p>
        </w:tc>
        <w:tc>
          <w:tcPr>
            <w:tcW w:w="6949" w:type="dxa"/>
            <w:gridSpan w:val="2"/>
          </w:tcPr>
          <w:p w:rsidR="000867F8" w:rsidRPr="00FB4FF7" w:rsidRDefault="000867F8" w:rsidP="00F85FEB">
            <w:pPr>
              <w:spacing w:before="50" w:afterLines="100" w:after="312"/>
              <w:jc w:val="both"/>
            </w:pPr>
            <w:r w:rsidRPr="00FB4FF7">
              <w:rPr>
                <w:rFonts w:hint="eastAsia"/>
              </w:rPr>
              <w:t>□</w:t>
            </w:r>
            <w:r w:rsidRPr="00FB4FF7">
              <w:t>5、参与集中的经营者收购境外企业股权或资产的，该境外企业不在中国境内从事经济活动。</w:t>
            </w:r>
          </w:p>
        </w:tc>
      </w:tr>
      <w:tr w:rsidR="000867F8" w:rsidRPr="00FB4FF7" w:rsidTr="006E4424">
        <w:trPr>
          <w:trHeight w:val="345"/>
        </w:trPr>
        <w:tc>
          <w:tcPr>
            <w:tcW w:w="1809" w:type="dxa"/>
            <w:vMerge/>
            <w:shd w:val="clear" w:color="auto" w:fill="D9D9D9"/>
          </w:tcPr>
          <w:p w:rsidR="000867F8" w:rsidRPr="00FB4FF7" w:rsidRDefault="000867F8" w:rsidP="00F85FEB">
            <w:pPr>
              <w:spacing w:before="50" w:afterLines="100" w:after="312"/>
              <w:jc w:val="both"/>
            </w:pPr>
          </w:p>
        </w:tc>
        <w:tc>
          <w:tcPr>
            <w:tcW w:w="6949" w:type="dxa"/>
            <w:gridSpan w:val="2"/>
          </w:tcPr>
          <w:p w:rsidR="000867F8" w:rsidRPr="00FB4FF7" w:rsidRDefault="000867F8" w:rsidP="00F85FEB">
            <w:pPr>
              <w:spacing w:before="50" w:afterLines="100" w:after="312"/>
              <w:jc w:val="both"/>
            </w:pPr>
            <w:r w:rsidRPr="00FB4FF7">
              <w:rPr>
                <w:rFonts w:hint="eastAsia"/>
              </w:rPr>
              <w:t>□</w:t>
            </w:r>
            <w:r w:rsidRPr="00FB4FF7">
              <w:t>6、由两个以上的经营者共同控制的合营企业，通过集中被其中一个或一个以上经营者控制。</w:t>
            </w:r>
          </w:p>
        </w:tc>
      </w:tr>
      <w:tr w:rsidR="000867F8" w:rsidRPr="00FB4FF7" w:rsidTr="006E4424">
        <w:tc>
          <w:tcPr>
            <w:tcW w:w="1809" w:type="dxa"/>
            <w:shd w:val="clear" w:color="auto" w:fill="D9D9D9"/>
          </w:tcPr>
          <w:p w:rsidR="000867F8" w:rsidRPr="00FB4FF7" w:rsidRDefault="000867F8" w:rsidP="00F85FEB">
            <w:pPr>
              <w:spacing w:before="50" w:afterLines="100" w:after="312"/>
              <w:jc w:val="both"/>
            </w:pPr>
            <w:r w:rsidRPr="00FB4FF7">
              <w:rPr>
                <w:rFonts w:hint="eastAsia"/>
              </w:rPr>
              <w:t>备注</w:t>
            </w:r>
          </w:p>
        </w:tc>
        <w:tc>
          <w:tcPr>
            <w:tcW w:w="6949" w:type="dxa"/>
            <w:gridSpan w:val="2"/>
          </w:tcPr>
          <w:p w:rsidR="000867F8" w:rsidRPr="00FB4FF7" w:rsidRDefault="000867F8" w:rsidP="00F85FEB">
            <w:pPr>
              <w:spacing w:before="50" w:afterLines="100" w:after="312"/>
              <w:jc w:val="both"/>
            </w:pPr>
            <w:r w:rsidRPr="00FB4FF7">
              <w:rPr>
                <w:rFonts w:hint="eastAsia"/>
              </w:rPr>
              <w:t>本次集中涉及的相关产品市场是</w:t>
            </w:r>
            <w:r w:rsidRPr="00FB4FF7">
              <w:t>LED车灯控制模块总成市场，相关地域市场是中国（不含港、澳、台）。华域汽车系统股份有限公司经营的产品处于与本案相关市场的下游位置，其乘用车车灯市场的市场份额小于25%；上海信耀电子有限公司在本案相关市</w:t>
            </w:r>
            <w:r w:rsidRPr="00FB4FF7">
              <w:lastRenderedPageBreak/>
              <w:t>场中的市场份额低于25%。</w:t>
            </w:r>
          </w:p>
        </w:tc>
      </w:tr>
    </w:tbl>
    <w:p w:rsidR="000867F8" w:rsidRPr="00FB4FF7" w:rsidRDefault="000867F8" w:rsidP="00F85FEB">
      <w:pPr>
        <w:snapToGrid w:val="0"/>
        <w:spacing w:before="50" w:afterLines="100" w:after="312"/>
        <w:jc w:val="both"/>
      </w:pPr>
    </w:p>
    <w:p w:rsidR="000867F8" w:rsidRPr="00FB4FF7" w:rsidRDefault="000867F8" w:rsidP="00F85FEB">
      <w:pPr>
        <w:snapToGrid w:val="0"/>
        <w:spacing w:before="50" w:afterLines="100" w:after="312"/>
        <w:jc w:val="both"/>
      </w:pPr>
      <w:r w:rsidRPr="00FB4FF7">
        <w:rPr>
          <w:rFonts w:hint="eastAsia"/>
        </w:rPr>
        <w:t>注解：</w:t>
      </w:r>
    </w:p>
    <w:p w:rsidR="000867F8" w:rsidRPr="00FB4FF7" w:rsidRDefault="000867F8" w:rsidP="00F85FEB">
      <w:pPr>
        <w:snapToGrid w:val="0"/>
        <w:spacing w:before="50" w:afterLines="100" w:after="312"/>
        <w:ind w:firstLineChars="200" w:firstLine="480"/>
        <w:jc w:val="both"/>
      </w:pPr>
      <w:r w:rsidRPr="00FB4FF7">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0867F8" w:rsidRPr="00FB4FF7" w:rsidRDefault="000867F8" w:rsidP="00F85FEB">
      <w:pPr>
        <w:spacing w:before="50" w:afterLines="100" w:after="312"/>
        <w:ind w:firstLineChars="200" w:firstLine="480"/>
        <w:jc w:val="both"/>
      </w:pPr>
      <w:r w:rsidRPr="00FB4FF7">
        <w:t>2、申报方申请简易案件的理由是基于第4项、第5项时，无须在备注中说明相关市场和市场份额。</w:t>
      </w:r>
      <w:r w:rsidRPr="00FB4FF7">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0867F8" w:rsidRPr="00FB4FF7" w:rsidRDefault="000867F8" w:rsidP="00F85FEB">
      <w:pPr>
        <w:spacing w:before="50" w:afterLines="100" w:after="312"/>
        <w:jc w:val="both"/>
        <w:rPr>
          <w:rFonts w:ascii="楷体" w:eastAsia="楷体" w:hAnsi="楷体"/>
        </w:rPr>
      </w:pPr>
    </w:p>
    <w:p w:rsidR="000867F8" w:rsidRPr="00FB4FF7" w:rsidRDefault="000867F8" w:rsidP="00F85FEB">
      <w:pPr>
        <w:spacing w:before="50" w:afterLines="100" w:after="312"/>
        <w:ind w:firstLine="420"/>
        <w:jc w:val="both"/>
        <w:rPr>
          <w:rFonts w:ascii="楷体" w:eastAsia="楷体" w:hAnsi="楷体" w:cs="Times New Roman"/>
          <w:szCs w:val="21"/>
        </w:rPr>
      </w:pPr>
    </w:p>
    <w:p w:rsidR="000B7AD6" w:rsidRPr="000867F8" w:rsidRDefault="000B7AD6"/>
    <w:sectPr w:rsidR="000B7AD6" w:rsidRPr="000867F8" w:rsidSect="00CA1F66">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62CD" w:rsidRDefault="009B62CD"/>
  </w:endnote>
  <w:endnote w:type="continuationSeparator" w:id="0">
    <w:p w:rsidR="009B62CD" w:rsidRDefault="009B62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62CD" w:rsidRDefault="009B62CD"/>
  </w:footnote>
  <w:footnote w:type="continuationSeparator" w:id="0">
    <w:p w:rsidR="009B62CD" w:rsidRDefault="009B62C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A9349B"/>
    <w:multiLevelType w:val="hybridMultilevel"/>
    <w:tmpl w:val="198C9062"/>
    <w:lvl w:ilvl="0" w:tplc="BA5624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7F8"/>
    <w:rsid w:val="00002A25"/>
    <w:rsid w:val="000819C4"/>
    <w:rsid w:val="000867F8"/>
    <w:rsid w:val="000B7AD6"/>
    <w:rsid w:val="000F7A00"/>
    <w:rsid w:val="001231AA"/>
    <w:rsid w:val="00162B5D"/>
    <w:rsid w:val="00196C08"/>
    <w:rsid w:val="001A413D"/>
    <w:rsid w:val="001A61A5"/>
    <w:rsid w:val="00200BE9"/>
    <w:rsid w:val="002A3BD1"/>
    <w:rsid w:val="002F2C18"/>
    <w:rsid w:val="0030546A"/>
    <w:rsid w:val="00317AE5"/>
    <w:rsid w:val="00380022"/>
    <w:rsid w:val="003C11D4"/>
    <w:rsid w:val="00410060"/>
    <w:rsid w:val="00415C94"/>
    <w:rsid w:val="00417FF1"/>
    <w:rsid w:val="00422725"/>
    <w:rsid w:val="00490BBF"/>
    <w:rsid w:val="004927F0"/>
    <w:rsid w:val="004F2547"/>
    <w:rsid w:val="00571D55"/>
    <w:rsid w:val="005E5D25"/>
    <w:rsid w:val="006E1F5A"/>
    <w:rsid w:val="006F62AF"/>
    <w:rsid w:val="00703E7D"/>
    <w:rsid w:val="007435DE"/>
    <w:rsid w:val="00745F92"/>
    <w:rsid w:val="00773B06"/>
    <w:rsid w:val="008074A0"/>
    <w:rsid w:val="00875624"/>
    <w:rsid w:val="00892DE9"/>
    <w:rsid w:val="008950E7"/>
    <w:rsid w:val="008A05AD"/>
    <w:rsid w:val="008C60BD"/>
    <w:rsid w:val="009943F2"/>
    <w:rsid w:val="009B62CD"/>
    <w:rsid w:val="009D2C9E"/>
    <w:rsid w:val="00AE2DE0"/>
    <w:rsid w:val="00C56F4D"/>
    <w:rsid w:val="00C90F52"/>
    <w:rsid w:val="00CA1F66"/>
    <w:rsid w:val="00D000AD"/>
    <w:rsid w:val="00D54117"/>
    <w:rsid w:val="00D9552A"/>
    <w:rsid w:val="00E378C1"/>
    <w:rsid w:val="00F85FEB"/>
    <w:rsid w:val="00FC573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AFE2C6"/>
  <w15:docId w15:val="{1E6E7A6B-8207-4A87-87C5-C7AB15C55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867F8"/>
    <w:rPr>
      <w:rFonts w:ascii="宋体" w:eastAsia="宋体" w:hAnsi="宋体" w:cs="宋体"/>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867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867F8"/>
    <w:pPr>
      <w:widowControl w:val="0"/>
      <w:ind w:firstLineChars="200" w:firstLine="420"/>
      <w:jc w:val="both"/>
    </w:pPr>
    <w:rPr>
      <w:rFonts w:asciiTheme="minorHAnsi" w:eastAsiaTheme="minorEastAsia" w:hAnsiTheme="minorHAnsi" w:cstheme="minorBidi"/>
      <w:kern w:val="2"/>
    </w:rPr>
  </w:style>
  <w:style w:type="paragraph" w:styleId="a5">
    <w:name w:val="Balloon Text"/>
    <w:basedOn w:val="a"/>
    <w:link w:val="a6"/>
    <w:uiPriority w:val="99"/>
    <w:semiHidden/>
    <w:unhideWhenUsed/>
    <w:rsid w:val="001A61A5"/>
    <w:rPr>
      <w:sz w:val="18"/>
      <w:szCs w:val="18"/>
    </w:rPr>
  </w:style>
  <w:style w:type="character" w:customStyle="1" w:styleId="a6">
    <w:name w:val="批注框文本 字符"/>
    <w:basedOn w:val="a0"/>
    <w:link w:val="a5"/>
    <w:uiPriority w:val="99"/>
    <w:semiHidden/>
    <w:rsid w:val="001A61A5"/>
    <w:rPr>
      <w:rFonts w:ascii="宋体" w:eastAsia="宋体" w:hAnsi="宋体" w:cs="宋体"/>
      <w:kern w:val="0"/>
      <w:sz w:val="18"/>
      <w:szCs w:val="18"/>
    </w:rPr>
  </w:style>
  <w:style w:type="paragraph" w:styleId="a7">
    <w:name w:val="header"/>
    <w:basedOn w:val="a"/>
    <w:link w:val="a8"/>
    <w:uiPriority w:val="99"/>
    <w:unhideWhenUsed/>
    <w:rsid w:val="001A61A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1A61A5"/>
    <w:rPr>
      <w:rFonts w:ascii="宋体" w:eastAsia="宋体" w:hAnsi="宋体" w:cs="宋体"/>
      <w:kern w:val="0"/>
      <w:sz w:val="18"/>
      <w:szCs w:val="18"/>
    </w:rPr>
  </w:style>
  <w:style w:type="paragraph" w:styleId="a9">
    <w:name w:val="footer"/>
    <w:basedOn w:val="a"/>
    <w:link w:val="aa"/>
    <w:uiPriority w:val="99"/>
    <w:unhideWhenUsed/>
    <w:rsid w:val="001A61A5"/>
    <w:pPr>
      <w:tabs>
        <w:tab w:val="center" w:pos="4153"/>
        <w:tab w:val="right" w:pos="8306"/>
      </w:tabs>
      <w:snapToGrid w:val="0"/>
    </w:pPr>
    <w:rPr>
      <w:sz w:val="18"/>
      <w:szCs w:val="18"/>
    </w:rPr>
  </w:style>
  <w:style w:type="character" w:customStyle="1" w:styleId="aa">
    <w:name w:val="页脚 字符"/>
    <w:basedOn w:val="a0"/>
    <w:link w:val="a9"/>
    <w:uiPriority w:val="99"/>
    <w:rsid w:val="001A61A5"/>
    <w:rPr>
      <w:rFonts w:ascii="宋体" w:eastAsia="宋体" w:hAnsi="宋体" w:cs="宋体"/>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375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Juncheng Sha</dc:creator>
  <cp:lastModifiedBy>shajuncheng0806@gmail.com</cp:lastModifiedBy>
  <cp:revision>2</cp:revision>
  <dcterms:created xsi:type="dcterms:W3CDTF">2018-02-27T09:04:00Z</dcterms:created>
  <dcterms:modified xsi:type="dcterms:W3CDTF">2018-02-27T09:04:00Z</dcterms:modified>
</cp:coreProperties>
</file>