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hint="eastAsia" w:ascii="仿宋_GB2312" w:hAnsi="Times New Roman" w:eastAsia="仿宋_GB2312"/>
          <w:sz w:val="28"/>
          <w:szCs w:val="28"/>
        </w:rPr>
      </w:pPr>
      <w:bookmarkStart w:id="1" w:name="_GoBack"/>
      <w:bookmarkEnd w:id="1"/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bookmarkStart w:id="0" w:name="_GoBack"/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bookmarkEnd w:id="0"/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9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ascii="仿宋_GB2312" w:hAnsi="Times New Roman" w:eastAsia="仿宋_GB2312"/>
                <w:sz w:val="28"/>
                <w:szCs w:val="28"/>
              </w:rPr>
              <w:t>穆巴达拉投资公司</w:t>
            </w: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与</w:t>
            </w:r>
            <w:r>
              <w:rPr>
                <w:rFonts w:ascii="仿宋_GB2312" w:hAnsi="Times New Roman" w:eastAsia="仿宋_GB2312"/>
                <w:sz w:val="28"/>
                <w:szCs w:val="28"/>
              </w:rPr>
              <w:t>索尔维集团新设合营</w:t>
            </w: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企业案</w:t>
            </w:r>
            <w:r>
              <w:rPr>
                <w:rFonts w:ascii="仿宋_GB2312" w:hAnsi="Times New Roman" w:eastAsia="仿宋_GB2312"/>
                <w:sz w:val="28"/>
                <w:szCs w:val="2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  <w:shd w:val="clear" w:color="auto" w:fill="auto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ascii="仿宋_GB2312" w:hAnsi="Times New Roman" w:eastAsia="仿宋_GB2312"/>
                <w:bCs/>
                <w:sz w:val="28"/>
                <w:szCs w:val="28"/>
              </w:rPr>
              <w:t>穆巴达拉投资公司（“</w:t>
            </w:r>
            <w:r>
              <w:rPr>
                <w:rFonts w:ascii="仿宋_GB2312" w:hAnsi="Times New Roman" w:eastAsia="仿宋_GB2312"/>
                <w:b/>
                <w:bCs/>
                <w:sz w:val="28"/>
                <w:szCs w:val="28"/>
              </w:rPr>
              <w:t>穆巴达拉</w:t>
            </w:r>
            <w:r>
              <w:rPr>
                <w:rFonts w:ascii="仿宋_GB2312" w:hAnsi="Times New Roman" w:eastAsia="仿宋_GB2312"/>
                <w:bCs/>
                <w:sz w:val="28"/>
                <w:szCs w:val="28"/>
              </w:rPr>
              <w:t>”）</w:t>
            </w:r>
            <w:r>
              <w:rPr>
                <w:rFonts w:ascii="仿宋_GB2312" w:hAnsi="Times New Roman" w:eastAsia="仿宋_GB2312"/>
                <w:sz w:val="28"/>
                <w:szCs w:val="28"/>
              </w:rPr>
              <w:t>（通过其子公司</w:t>
            </w:r>
            <w:r>
              <w:rPr>
                <w:rFonts w:ascii="仿宋_GB2312" w:hAnsi="Times New Roman" w:eastAsia="仿宋_GB2312"/>
                <w:bCs/>
                <w:sz w:val="28"/>
                <w:szCs w:val="28"/>
              </w:rPr>
              <w:t>斯特拉制造公司）和索尔维集团（“</w:t>
            </w:r>
            <w:r>
              <w:rPr>
                <w:rFonts w:ascii="仿宋_GB2312" w:hAnsi="Times New Roman" w:eastAsia="仿宋_GB2312"/>
                <w:b/>
                <w:bCs/>
                <w:sz w:val="28"/>
                <w:szCs w:val="28"/>
              </w:rPr>
              <w:t>索尔维</w:t>
            </w:r>
            <w:r>
              <w:rPr>
                <w:rFonts w:ascii="仿宋_GB2312" w:hAnsi="Times New Roman" w:eastAsia="仿宋_GB2312"/>
                <w:bCs/>
                <w:sz w:val="28"/>
                <w:szCs w:val="28"/>
              </w:rPr>
              <w:t>”）（通过其子公司氰特尼巴拉斯有限责任公司）在阿布扎比共同新设一家合营</w:t>
            </w:r>
            <w:r>
              <w:rPr>
                <w:rFonts w:hint="eastAsia" w:ascii="仿宋_GB2312" w:hAnsi="Times New Roman" w:eastAsia="仿宋_GB2312"/>
                <w:bCs/>
                <w:sz w:val="28"/>
                <w:szCs w:val="28"/>
              </w:rPr>
              <w:t>企业</w:t>
            </w:r>
            <w:r>
              <w:rPr>
                <w:rFonts w:ascii="仿宋_GB2312" w:hAnsi="Times New Roman" w:eastAsia="仿宋_GB2312"/>
                <w:bCs/>
                <w:sz w:val="28"/>
                <w:szCs w:val="28"/>
              </w:rPr>
              <w:t>。合营</w:t>
            </w:r>
            <w:r>
              <w:rPr>
                <w:rFonts w:hint="eastAsia" w:ascii="仿宋_GB2312" w:hAnsi="Times New Roman" w:eastAsia="仿宋_GB2312"/>
                <w:bCs/>
                <w:sz w:val="28"/>
                <w:szCs w:val="28"/>
              </w:rPr>
              <w:t>企业</w:t>
            </w:r>
            <w:r>
              <w:rPr>
                <w:rFonts w:ascii="仿宋_GB2312" w:hAnsi="Times New Roman" w:eastAsia="仿宋_GB2312"/>
                <w:bCs/>
                <w:sz w:val="28"/>
                <w:szCs w:val="28"/>
              </w:rPr>
              <w:t>将生产</w:t>
            </w:r>
            <w:r>
              <w:rPr>
                <w:rFonts w:hint="eastAsia" w:ascii="仿宋_GB2312" w:hAnsi="Times New Roman" w:eastAsia="仿宋_GB2312"/>
                <w:bCs/>
                <w:sz w:val="28"/>
                <w:szCs w:val="28"/>
              </w:rPr>
              <w:t>航空应用使用的</w:t>
            </w:r>
            <w:r>
              <w:rPr>
                <w:rFonts w:ascii="仿宋_GB2312" w:hAnsi="Times New Roman" w:eastAsia="仿宋_GB2312"/>
                <w:bCs/>
                <w:sz w:val="28"/>
                <w:szCs w:val="28"/>
              </w:rPr>
              <w:t>预浸材料。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shd w:val="clear" w:color="auto" w:fill="auto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1、</w:t>
            </w:r>
            <w:r>
              <w:rPr>
                <w:rFonts w:ascii="仿宋_GB2312" w:hAnsi="Times New Roman" w:eastAsia="仿宋_GB2312"/>
                <w:sz w:val="28"/>
                <w:szCs w:val="28"/>
              </w:rPr>
              <w:t>穆巴达拉</w:t>
            </w:r>
          </w:p>
        </w:tc>
        <w:tc>
          <w:tcPr>
            <w:tcW w:w="5153" w:type="dxa"/>
            <w:shd w:val="clear" w:color="auto" w:fill="auto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ascii="仿宋_GB2312" w:hAnsi="Times New Roman" w:eastAsia="仿宋_GB2312"/>
                <w:sz w:val="28"/>
                <w:szCs w:val="28"/>
              </w:rPr>
              <w:t>穆巴达拉在全球范围内以自有资金开展直接投资。其经营宗旨是在全球各地新设公司及战略性参股投资现有公司。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  <w:shd w:val="clear" w:color="auto" w:fill="auto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2、</w:t>
            </w:r>
            <w:r>
              <w:rPr>
                <w:rFonts w:ascii="仿宋_GB2312" w:hAnsi="Times New Roman" w:eastAsia="仿宋_GB2312"/>
                <w:sz w:val="28"/>
                <w:szCs w:val="28"/>
              </w:rPr>
              <w:t>索尔维</w:t>
            </w:r>
          </w:p>
        </w:tc>
        <w:tc>
          <w:tcPr>
            <w:tcW w:w="5153" w:type="dxa"/>
            <w:shd w:val="clear" w:color="auto" w:fill="auto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ascii="仿宋_GB2312" w:hAnsi="Times New Roman" w:eastAsia="仿宋_GB2312"/>
                <w:sz w:val="28"/>
                <w:szCs w:val="28"/>
              </w:rPr>
              <w:t>索尔维是一家从事化学品和塑料制品研究、开发、生产、营销和销售的全球化工集团。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shd w:val="clear" w:color="auto" w:fill="auto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ascii="Wingdings" w:hAnsi="Wingdings" w:eastAsia="仿宋"/>
                <w:sz w:val="28"/>
                <w:szCs w:val="28"/>
              </w:rPr>
              <w:sym w:font="Wingdings" w:char="F0FE"/>
            </w: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shd w:val="clear" w:color="auto" w:fill="auto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ascii="Wingdings" w:hAnsi="Wingdings" w:eastAsia="仿宋"/>
                <w:sz w:val="28"/>
                <w:szCs w:val="28"/>
              </w:rPr>
              <w:sym w:font="Wingdings" w:char="F0FE"/>
            </w: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shd w:val="clear" w:color="auto" w:fill="auto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shd w:val="clear" w:color="auto" w:fill="auto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shd w:val="clear" w:color="auto" w:fill="auto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shd w:val="clear" w:color="auto" w:fill="auto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  <w:shd w:val="clear" w:color="auto" w:fill="auto"/>
            <w:vAlign w:val="top"/>
          </w:tcPr>
          <w:p>
            <w:pPr>
              <w:pStyle w:val="2"/>
              <w:spacing w:after="0" w:line="320" w:lineRule="atLeast"/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本交易涉及的相关产品市场及相关市场份额情况如下：</w:t>
            </w:r>
          </w:p>
          <w:p>
            <w:pPr>
              <w:pStyle w:val="2"/>
              <w:keepNext/>
              <w:keepLines/>
              <w:adjustRightInd w:val="0"/>
              <w:snapToGrid w:val="0"/>
              <w:spacing w:after="0" w:line="320" w:lineRule="atLeast"/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eastAsia="仿宋_GB2312"/>
                <w:kern w:val="2"/>
                <w:sz w:val="28"/>
                <w:szCs w:val="28"/>
                <w:lang w:val="en-US" w:eastAsia="zh-CN" w:bidi="ar-SA"/>
              </w:rPr>
              <w:t xml:space="preserve">(1) </w:t>
            </w: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预浸材料（所有应用）市场</w:t>
            </w:r>
            <w:r>
              <w:rPr>
                <w:rFonts w:hint="eastAsia" w:eastAsia="仿宋_GB2312"/>
                <w:kern w:val="2"/>
                <w:sz w:val="28"/>
                <w:szCs w:val="28"/>
                <w:lang w:val="en-US" w:eastAsia="zh-CN" w:bidi="ar-SA"/>
              </w:rPr>
              <w:t xml:space="preserve"> </w:t>
            </w: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— 全球</w:t>
            </w:r>
          </w:p>
          <w:p>
            <w:pPr>
              <w:pStyle w:val="2"/>
              <w:keepNext/>
              <w:keepLines/>
              <w:numPr>
                <w:ilvl w:val="1"/>
                <w:numId w:val="1"/>
              </w:numPr>
              <w:adjustRightInd w:val="0"/>
              <w:snapToGrid w:val="0"/>
              <w:spacing w:after="0" w:line="320" w:lineRule="atLeast"/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索尔维（5-10%）</w:t>
            </w:r>
          </w:p>
          <w:p>
            <w:pPr>
              <w:pStyle w:val="2"/>
              <w:keepNext/>
              <w:keepLines/>
              <w:numPr>
                <w:ilvl w:val="1"/>
                <w:numId w:val="1"/>
              </w:numPr>
              <w:adjustRightInd w:val="0"/>
              <w:snapToGrid w:val="0"/>
              <w:spacing w:after="0" w:line="320" w:lineRule="atLeast"/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合营公司（0-5%）</w:t>
            </w:r>
          </w:p>
          <w:p>
            <w:pPr>
              <w:pStyle w:val="2"/>
              <w:keepNext/>
              <w:keepLines/>
              <w:numPr>
                <w:ilvl w:val="1"/>
                <w:numId w:val="1"/>
              </w:numPr>
              <w:adjustRightInd w:val="0"/>
              <w:snapToGrid w:val="0"/>
              <w:spacing w:after="0" w:line="320" w:lineRule="atLeast"/>
              <w:rPr>
                <w:rFonts w:hint="eastAsia" w:eastAsia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合并份额（10-15%）</w:t>
            </w:r>
          </w:p>
          <w:p>
            <w:pPr>
              <w:pStyle w:val="2"/>
              <w:keepNext/>
              <w:keepLines/>
              <w:adjustRightInd w:val="0"/>
              <w:snapToGrid w:val="0"/>
              <w:spacing w:after="0" w:line="320" w:lineRule="atLeast"/>
              <w:ind w:left="1080"/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</w:pPr>
          </w:p>
          <w:p>
            <w:pPr>
              <w:pStyle w:val="2"/>
              <w:keepNext/>
              <w:keepLines/>
              <w:adjustRightInd w:val="0"/>
              <w:snapToGrid w:val="0"/>
              <w:spacing w:after="0" w:line="320" w:lineRule="atLeast"/>
              <w:rPr>
                <w:rFonts w:hint="eastAsia" w:eastAsia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eastAsia="仿宋_GB2312"/>
                <w:kern w:val="2"/>
                <w:sz w:val="28"/>
                <w:szCs w:val="28"/>
                <w:lang w:val="en-US" w:eastAsia="zh-CN" w:bidi="ar-SA"/>
              </w:rPr>
              <w:t xml:space="preserve">(2) </w:t>
            </w: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预浸材料（所有应用）市场</w:t>
            </w:r>
            <w:r>
              <w:rPr>
                <w:rFonts w:hint="eastAsia" w:eastAsia="仿宋_GB2312"/>
                <w:kern w:val="2"/>
                <w:sz w:val="28"/>
                <w:szCs w:val="28"/>
                <w:lang w:val="en-US" w:eastAsia="zh-CN" w:bidi="ar-SA"/>
              </w:rPr>
              <w:t xml:space="preserve"> </w:t>
            </w: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 xml:space="preserve">— </w:t>
            </w:r>
            <w:r>
              <w:rPr>
                <w:rFonts w:hint="eastAsia" w:eastAsia="仿宋_GB2312"/>
                <w:kern w:val="2"/>
                <w:sz w:val="28"/>
                <w:szCs w:val="28"/>
                <w:lang w:val="en-US" w:eastAsia="zh-CN" w:bidi="ar-SA"/>
              </w:rPr>
              <w:t>中国</w:t>
            </w:r>
          </w:p>
          <w:p>
            <w:pPr>
              <w:pStyle w:val="2"/>
              <w:keepNext/>
              <w:keepLines/>
              <w:numPr>
                <w:ilvl w:val="1"/>
                <w:numId w:val="1"/>
              </w:numPr>
              <w:adjustRightInd w:val="0"/>
              <w:snapToGrid w:val="0"/>
              <w:spacing w:after="0" w:line="320" w:lineRule="atLeast"/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索尔维（5-10%）</w:t>
            </w:r>
          </w:p>
          <w:p>
            <w:pPr>
              <w:pStyle w:val="2"/>
              <w:keepNext/>
              <w:keepLines/>
              <w:numPr>
                <w:ilvl w:val="1"/>
                <w:numId w:val="1"/>
              </w:numPr>
              <w:adjustRightInd w:val="0"/>
              <w:snapToGrid w:val="0"/>
              <w:spacing w:after="0" w:line="320" w:lineRule="atLeast"/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合营公司（0-5%）</w:t>
            </w:r>
          </w:p>
          <w:p>
            <w:pPr>
              <w:pStyle w:val="2"/>
              <w:keepNext/>
              <w:keepLines/>
              <w:numPr>
                <w:ilvl w:val="1"/>
                <w:numId w:val="1"/>
              </w:numPr>
              <w:adjustRightInd w:val="0"/>
              <w:snapToGrid w:val="0"/>
              <w:spacing w:after="0" w:line="320" w:lineRule="atLeast"/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合并份额（10-15%）</w:t>
            </w:r>
          </w:p>
          <w:p>
            <w:pPr>
              <w:pStyle w:val="2"/>
              <w:keepNext/>
              <w:keepLines/>
              <w:adjustRightInd w:val="0"/>
              <w:snapToGrid w:val="0"/>
              <w:spacing w:after="0" w:line="320" w:lineRule="atLeast"/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</w:pPr>
          </w:p>
          <w:p>
            <w:pPr>
              <w:pStyle w:val="2"/>
              <w:keepNext/>
              <w:keepLines/>
              <w:adjustRightInd w:val="0"/>
              <w:snapToGrid w:val="0"/>
              <w:spacing w:after="0" w:line="320" w:lineRule="atLeast"/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eastAsia="仿宋_GB2312"/>
                <w:kern w:val="2"/>
                <w:sz w:val="28"/>
                <w:szCs w:val="28"/>
                <w:lang w:val="en-US" w:eastAsia="zh-CN" w:bidi="ar-SA"/>
              </w:rPr>
              <w:t xml:space="preserve">(3) </w:t>
            </w: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航空结构部件市场（预浸材料的下游市场）</w:t>
            </w:r>
            <w:r>
              <w:rPr>
                <w:rFonts w:hint="eastAsia" w:eastAsia="仿宋_GB2312"/>
                <w:kern w:val="2"/>
                <w:sz w:val="28"/>
                <w:szCs w:val="28"/>
                <w:lang w:val="en-US" w:eastAsia="zh-CN" w:bidi="ar-SA"/>
              </w:rPr>
              <w:t xml:space="preserve"> </w:t>
            </w: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—</w:t>
            </w:r>
            <w:r>
              <w:rPr>
                <w:rFonts w:hint="eastAsia" w:eastAsia="仿宋_GB2312"/>
                <w:kern w:val="2"/>
                <w:sz w:val="28"/>
                <w:szCs w:val="28"/>
                <w:lang w:val="en-US" w:eastAsia="zh-CN" w:bidi="ar-SA"/>
              </w:rPr>
              <w:t xml:space="preserve"> </w:t>
            </w: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全球</w:t>
            </w:r>
          </w:p>
          <w:p>
            <w:pPr>
              <w:pStyle w:val="2"/>
              <w:keepNext/>
              <w:keepLines/>
              <w:numPr>
                <w:ilvl w:val="1"/>
                <w:numId w:val="2"/>
              </w:numPr>
              <w:adjustRightInd w:val="0"/>
              <w:snapToGrid w:val="0"/>
              <w:spacing w:after="0" w:line="320" w:lineRule="atLeast"/>
              <w:rPr>
                <w:rFonts w:hint="eastAsia" w:eastAsia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穆巴达拉（0-5%）</w:t>
            </w:r>
          </w:p>
          <w:p>
            <w:pPr>
              <w:pStyle w:val="2"/>
              <w:keepNext/>
              <w:keepLines/>
              <w:adjustRightInd w:val="0"/>
              <w:snapToGrid w:val="0"/>
              <w:spacing w:after="0" w:line="320" w:lineRule="atLeast"/>
              <w:rPr>
                <w:rFonts w:hint="eastAsia" w:eastAsia="仿宋_GB2312"/>
                <w:kern w:val="2"/>
                <w:sz w:val="28"/>
                <w:szCs w:val="28"/>
                <w:lang w:val="en-US" w:eastAsia="zh-CN" w:bidi="ar-SA"/>
              </w:rPr>
            </w:pPr>
          </w:p>
          <w:p>
            <w:pPr>
              <w:pStyle w:val="2"/>
              <w:keepNext/>
              <w:keepLines/>
              <w:adjustRightInd w:val="0"/>
              <w:snapToGrid w:val="0"/>
              <w:spacing w:after="0" w:line="320" w:lineRule="atLeast"/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eastAsia="仿宋_GB2312"/>
                <w:kern w:val="2"/>
                <w:sz w:val="28"/>
                <w:szCs w:val="28"/>
                <w:lang w:val="en-US" w:eastAsia="zh-CN" w:bidi="ar-SA"/>
              </w:rPr>
              <w:t xml:space="preserve">(4) </w:t>
            </w: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航空结构部件市场（预浸材料的下游市场）</w:t>
            </w:r>
            <w:r>
              <w:rPr>
                <w:rFonts w:hint="eastAsia" w:eastAsia="仿宋_GB2312"/>
                <w:kern w:val="2"/>
                <w:sz w:val="28"/>
                <w:szCs w:val="28"/>
                <w:lang w:val="en-US" w:eastAsia="zh-CN" w:bidi="ar-SA"/>
              </w:rPr>
              <w:t xml:space="preserve"> </w:t>
            </w: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—</w:t>
            </w:r>
            <w:r>
              <w:rPr>
                <w:rFonts w:hint="eastAsia" w:eastAsia="仿宋_GB2312"/>
                <w:kern w:val="2"/>
                <w:sz w:val="28"/>
                <w:szCs w:val="28"/>
                <w:lang w:val="en-US" w:eastAsia="zh-CN" w:bidi="ar-SA"/>
              </w:rPr>
              <w:t xml:space="preserve"> 中国</w:t>
            </w:r>
          </w:p>
          <w:p>
            <w:pPr>
              <w:pStyle w:val="2"/>
              <w:keepNext/>
              <w:keepLines/>
              <w:numPr>
                <w:ilvl w:val="1"/>
                <w:numId w:val="2"/>
              </w:numPr>
              <w:adjustRightInd w:val="0"/>
              <w:snapToGrid w:val="0"/>
              <w:spacing w:after="0" w:line="320" w:lineRule="atLeast"/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eastAsia="仿宋_GB2312"/>
                <w:kern w:val="2"/>
                <w:sz w:val="28"/>
                <w:szCs w:val="28"/>
                <w:lang w:val="en-US" w:eastAsia="zh-CN" w:bidi="ar-SA"/>
              </w:rPr>
              <w:t>穆巴达拉（0-5%）</w:t>
            </w:r>
          </w:p>
          <w:p>
            <w:pPr>
              <w:pStyle w:val="2"/>
              <w:spacing w:after="0" w:line="320" w:lineRule="atLeast"/>
              <w:rPr>
                <w:lang w:val="en-US" w:eastAsia="zh-CN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hint="eastAsia"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hint="eastAsia" w:ascii="楷体_GB2312" w:hAnsi="宋体" w:eastAsia="楷体_GB2312"/>
          <w:sz w:val="24"/>
          <w:szCs w:val="24"/>
        </w:rPr>
      </w:pPr>
      <w:r>
        <w:rPr>
          <w:rFonts w:hint="eastAsia" w:ascii="楷体_GB2312" w:hAnsi="宋体" w:eastAsia="楷体_GB2312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hint="eastAsia" w:ascii="楷体_GB2312" w:hAnsi="宋体" w:eastAsia="楷体_GB2312"/>
          <w:sz w:val="24"/>
          <w:szCs w:val="24"/>
        </w:rPr>
      </w:pPr>
      <w:r>
        <w:rPr>
          <w:rFonts w:hint="eastAsia" w:ascii="楷体_GB2312" w:hAnsi="宋体" w:eastAsia="楷体_GB2312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hint="eastAsia" w:ascii="楷体_GB2312" w:hAnsi="Times New Roman" w:eastAsia="楷体_GB2312"/>
          <w:sz w:val="28"/>
          <w:szCs w:val="28"/>
        </w:rPr>
      </w:pPr>
      <w:r>
        <w:rPr>
          <w:rFonts w:hint="eastAsia" w:ascii="楷体_GB2312" w:hAnsi="宋体" w:eastAsia="楷体_GB2312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hint="eastAsia" w:ascii="楷体_GB2312" w:hAnsi="宋体" w:eastAsia="楷体_GB2312"/>
          <w:sz w:val="24"/>
          <w:szCs w:val="24"/>
        </w:rPr>
        <w:br w:type="textWrapping"/>
      </w:r>
      <w:r>
        <w:rPr>
          <w:rFonts w:hint="eastAsia" w:ascii="楷体_GB2312" w:hAnsi="宋体" w:eastAsia="楷体_GB2312"/>
          <w:sz w:val="24"/>
          <w:szCs w:val="24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C3620"/>
    <w:multiLevelType w:val="multilevel"/>
    <w:tmpl w:val="0DAC3620"/>
    <w:lvl w:ilvl="0" w:tentative="0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EB0743E"/>
    <w:multiLevelType w:val="multilevel"/>
    <w:tmpl w:val="7EB0743E"/>
    <w:lvl w:ilvl="0" w:tentative="0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62883"/>
    <w:rsid w:val="00084C2F"/>
    <w:rsid w:val="00094095"/>
    <w:rsid w:val="00174A36"/>
    <w:rsid w:val="00196CEB"/>
    <w:rsid w:val="001B075F"/>
    <w:rsid w:val="00202C4C"/>
    <w:rsid w:val="00225914"/>
    <w:rsid w:val="00245776"/>
    <w:rsid w:val="00256294"/>
    <w:rsid w:val="002661EA"/>
    <w:rsid w:val="002F2D60"/>
    <w:rsid w:val="00307976"/>
    <w:rsid w:val="00350B78"/>
    <w:rsid w:val="003B6CBA"/>
    <w:rsid w:val="003F35B5"/>
    <w:rsid w:val="00462174"/>
    <w:rsid w:val="005F167B"/>
    <w:rsid w:val="007478C5"/>
    <w:rsid w:val="00757298"/>
    <w:rsid w:val="0085586A"/>
    <w:rsid w:val="008E7B8C"/>
    <w:rsid w:val="00A37320"/>
    <w:rsid w:val="00AF28E7"/>
    <w:rsid w:val="00B40D3A"/>
    <w:rsid w:val="00B949D7"/>
    <w:rsid w:val="00B96DC6"/>
    <w:rsid w:val="00BA0750"/>
    <w:rsid w:val="00BA1596"/>
    <w:rsid w:val="00BB2377"/>
    <w:rsid w:val="00C244F0"/>
    <w:rsid w:val="00C27C8A"/>
    <w:rsid w:val="00C44EB3"/>
    <w:rsid w:val="00C55684"/>
    <w:rsid w:val="00C9068E"/>
    <w:rsid w:val="00D21777"/>
    <w:rsid w:val="00ED21B1"/>
    <w:rsid w:val="00F67F9E"/>
    <w:rsid w:val="00F846BC"/>
    <w:rsid w:val="00F87C1F"/>
    <w:rsid w:val="00FD2C5A"/>
    <w:rsid w:val="457422CB"/>
    <w:rsid w:val="554C4D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Style w:val="9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4"/>
    <w:uiPriority w:val="0"/>
    <w:pPr>
      <w:widowControl/>
      <w:spacing w:after="240"/>
    </w:pPr>
    <w:rPr>
      <w:rFonts w:ascii="Times New Roman" w:hAnsi="Times New Roman" w:eastAsia="宋体"/>
      <w:kern w:val="0"/>
      <w:sz w:val="24"/>
      <w:szCs w:val="24"/>
      <w:lang w:val="en-GB" w:eastAsia="en-GB" w:bidi="ar-AE"/>
    </w:rPr>
  </w:style>
  <w:style w:type="paragraph" w:styleId="3">
    <w:name w:val="endnote text"/>
    <w:basedOn w:val="1"/>
    <w:link w:val="11"/>
    <w:semiHidden/>
    <w:unhideWhenUsed/>
    <w:uiPriority w:val="99"/>
    <w:pPr>
      <w:snapToGrid w:val="0"/>
      <w:jc w:val="left"/>
    </w:pPr>
  </w:style>
  <w:style w:type="paragraph" w:styleId="4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styleId="8">
    <w:name w:val="endnote reference"/>
    <w:semiHidden/>
    <w:unhideWhenUsed/>
    <w:uiPriority w:val="99"/>
    <w:rPr>
      <w:vertAlign w:val="superscript"/>
    </w:rPr>
  </w:style>
  <w:style w:type="table" w:styleId="10">
    <w:name w:val="Table Grid"/>
    <w:basedOn w:val="9"/>
    <w:uiPriority w:val="59"/>
    <w:tblPr>
      <w:tblStyle w:val="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1">
    <w:name w:val="尾注文本 Char"/>
    <w:basedOn w:val="7"/>
    <w:link w:val="3"/>
    <w:semiHidden/>
    <w:uiPriority w:val="99"/>
  </w:style>
  <w:style w:type="character" w:customStyle="1" w:styleId="12">
    <w:name w:val="页眉 Char"/>
    <w:link w:val="6"/>
    <w:uiPriority w:val="99"/>
    <w:rPr>
      <w:sz w:val="18"/>
      <w:szCs w:val="18"/>
    </w:rPr>
  </w:style>
  <w:style w:type="character" w:customStyle="1" w:styleId="13">
    <w:name w:val="页脚 Char"/>
    <w:link w:val="5"/>
    <w:uiPriority w:val="99"/>
    <w:rPr>
      <w:sz w:val="18"/>
      <w:szCs w:val="18"/>
    </w:rPr>
  </w:style>
  <w:style w:type="character" w:customStyle="1" w:styleId="14">
    <w:name w:val="正文文本 Char"/>
    <w:link w:val="2"/>
    <w:uiPriority w:val="0"/>
    <w:rPr>
      <w:rFonts w:ascii="Times New Roman" w:hAnsi="Times New Roman" w:eastAsia="宋体"/>
      <w:sz w:val="24"/>
      <w:szCs w:val="24"/>
      <w:lang w:eastAsia="en-GB" w:bidi="ar-AE"/>
    </w:rPr>
  </w:style>
  <w:style w:type="character" w:customStyle="1" w:styleId="15">
    <w:name w:val="批注框文本 Char"/>
    <w:link w:val="4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168</Words>
  <Characters>963</Characters>
  <Lines>8</Lines>
  <Paragraphs>2</Paragraphs>
  <TotalTime>1</TotalTime>
  <ScaleCrop>false</ScaleCrop>
  <LinksUpToDate>false</LinksUpToDate>
  <CharactersWithSpaces>1129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2018-06-08T02:28:00Z</dcterms:created>
  <dc:creator>云上心情</dc:creator>
  <cp:lastModifiedBy>云上心情</cp:lastModifiedBy>
  <dcterms:modified xsi:type="dcterms:W3CDTF">2018-07-05T00:37:35Z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0080292</vt:lpwstr>
  </property>
  <property fmtid="{D5CDD505-2E9C-101B-9397-08002B2CF9AE}" pid="3" name="cpClientMatter">
    <vt:lpwstr>0080292-0000253</vt:lpwstr>
  </property>
  <property fmtid="{D5CDD505-2E9C-101B-9397-08002B2CF9AE}" pid="4" name="cpCombinedRef">
    <vt:lpwstr>0080292-0000253 BJ:3621448.1</vt:lpwstr>
  </property>
  <property fmtid="{D5CDD505-2E9C-101B-9397-08002B2CF9AE}" pid="5" name="cpDocRef">
    <vt:lpwstr>BJ:3621448.1</vt:lpwstr>
  </property>
  <property fmtid="{D5CDD505-2E9C-101B-9397-08002B2CF9AE}" pid="6" name="Matter">
    <vt:lpwstr>0000253</vt:lpwstr>
  </property>
  <property fmtid="{D5CDD505-2E9C-101B-9397-08002B2CF9AE}" pid="7" name="KSOProductBuildVer">
    <vt:lpwstr>2052-10.1.0.7400</vt:lpwstr>
  </property>
</Properties>
</file>