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宋体" w:hAnsi="宋体"/>
          <w:b/>
          <w:bCs/>
          <w:sz w:val="24"/>
          <w:szCs w:val="24"/>
        </w:rPr>
      </w:pPr>
      <w:r>
        <w:rPr>
          <w:rFonts w:hint="eastAsia" w:ascii="宋体" w:hAnsi="宋体"/>
          <w:b/>
          <w:bCs/>
          <w:sz w:val="24"/>
          <w:szCs w:val="24"/>
        </w:rPr>
        <w:t>经营者集中简易案件公示表</w:t>
      </w:r>
    </w:p>
    <w:p>
      <w:pPr>
        <w:spacing w:line="440" w:lineRule="exact"/>
        <w:rPr>
          <w:rFonts w:ascii="宋体" w:hAnsi="宋体"/>
          <w:sz w:val="24"/>
          <w:szCs w:val="24"/>
        </w:rPr>
      </w:pPr>
    </w:p>
    <w:tbl>
      <w:tblPr>
        <w:tblStyle w:val="1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0" w:hRule="atLeast"/>
        </w:trPr>
        <w:tc>
          <w:tcPr>
            <w:tcW w:w="1809" w:type="dxa"/>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案件名称</w:t>
            </w:r>
          </w:p>
        </w:tc>
        <w:tc>
          <w:tcPr>
            <w:tcW w:w="6949" w:type="dxa"/>
            <w:gridSpan w:val="2"/>
            <w:vAlign w:val="center"/>
          </w:tcPr>
          <w:p>
            <w:pPr>
              <w:rPr>
                <w:rFonts w:ascii="Times New Roman" w:hAnsi="Times New Roman" w:cs="楷体"/>
                <w:color w:val="000000" w:themeColor="text1"/>
                <w:sz w:val="24"/>
                <w:szCs w:val="24"/>
                <w:lang w:bidi="ar"/>
                <w14:textFill>
                  <w14:solidFill>
                    <w14:schemeClr w14:val="tx1"/>
                  </w14:solidFill>
                </w14:textFill>
              </w:rPr>
            </w:pPr>
            <w:r>
              <w:rPr>
                <w:rFonts w:hint="eastAsia" w:ascii="Times New Roman" w:hAnsi="Times New Roman" w:cs="楷体"/>
                <w:color w:val="000000" w:themeColor="text1"/>
                <w:sz w:val="24"/>
                <w:szCs w:val="24"/>
                <w:lang w:bidi="ar"/>
                <w14:textFill>
                  <w14:solidFill>
                    <w14:schemeClr w14:val="tx1"/>
                  </w14:solidFill>
                </w14:textFill>
              </w:rPr>
              <w:t>本田技研工业株式会社与松下电器产业株式会社等经营者新设合营企业案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6" w:hRule="atLeast"/>
        </w:trPr>
        <w:tc>
          <w:tcPr>
            <w:tcW w:w="1809" w:type="dxa"/>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交易概况（限200字内）</w:t>
            </w:r>
          </w:p>
        </w:tc>
        <w:tc>
          <w:tcPr>
            <w:tcW w:w="6949" w:type="dxa"/>
            <w:gridSpan w:val="2"/>
            <w:vAlign w:val="center"/>
          </w:tcPr>
          <w:p>
            <w:pPr>
              <w:rPr>
                <w:rFonts w:hint="eastAsia" w:ascii="Times New Roman" w:hAnsi="Times New Roman" w:cs="楷体"/>
                <w:color w:val="000000" w:themeColor="text1"/>
                <w:sz w:val="24"/>
                <w:szCs w:val="24"/>
                <w:lang w:bidi="ar"/>
                <w14:textFill>
                  <w14:solidFill>
                    <w14:schemeClr w14:val="tx1"/>
                  </w14:solidFill>
                </w14:textFill>
              </w:rPr>
            </w:pPr>
            <w:r>
              <w:rPr>
                <w:rFonts w:hint="eastAsia" w:ascii="Times New Roman" w:hAnsi="Times New Roman" w:cs="楷体"/>
                <w:color w:val="000000" w:themeColor="text1"/>
                <w:sz w:val="24"/>
                <w:szCs w:val="24"/>
                <w:lang w:bidi="ar"/>
                <w14:textFill>
                  <w14:solidFill>
                    <w14:schemeClr w14:val="tx1"/>
                  </w14:solidFill>
                </w14:textFill>
              </w:rPr>
              <w:t>本田技研工业株式会社（“</w:t>
            </w:r>
            <w:r>
              <w:rPr>
                <w:rFonts w:hint="eastAsia" w:ascii="Times New Roman" w:hAnsi="Times New Roman" w:cs="楷体"/>
                <w:b/>
                <w:bCs/>
                <w:color w:val="000000" w:themeColor="text1"/>
                <w:sz w:val="24"/>
                <w:szCs w:val="24"/>
                <w:lang w:bidi="ar"/>
                <w14:textFill>
                  <w14:solidFill>
                    <w14:schemeClr w14:val="tx1"/>
                  </w14:solidFill>
                </w14:textFill>
              </w:rPr>
              <w:t>本田</w:t>
            </w:r>
            <w:r>
              <w:rPr>
                <w:rFonts w:hint="eastAsia" w:ascii="Times New Roman" w:hAnsi="Times New Roman" w:cs="楷体"/>
                <w:color w:val="000000" w:themeColor="text1"/>
                <w:sz w:val="24"/>
                <w:szCs w:val="24"/>
                <w:lang w:bidi="ar"/>
                <w14:textFill>
                  <w14:solidFill>
                    <w14:schemeClr w14:val="tx1"/>
                  </w14:solidFill>
                </w14:textFill>
              </w:rPr>
              <w:t>”）、松下电器产业株式会社（“</w:t>
            </w:r>
            <w:r>
              <w:rPr>
                <w:rFonts w:hint="eastAsia" w:ascii="Times New Roman" w:hAnsi="Times New Roman" w:cs="楷体"/>
                <w:b/>
                <w:bCs/>
                <w:color w:val="000000" w:themeColor="text1"/>
                <w:sz w:val="24"/>
                <w:szCs w:val="24"/>
                <w:lang w:bidi="ar"/>
                <w14:textFill>
                  <w14:solidFill>
                    <w14:schemeClr w14:val="tx1"/>
                  </w14:solidFill>
                </w14:textFill>
              </w:rPr>
              <w:t>松下</w:t>
            </w:r>
            <w:r>
              <w:rPr>
                <w:rFonts w:hint="eastAsia" w:ascii="Times New Roman" w:hAnsi="Times New Roman" w:cs="楷体"/>
                <w:color w:val="000000" w:themeColor="text1"/>
                <w:sz w:val="24"/>
                <w:szCs w:val="24"/>
                <w:lang w:bidi="ar"/>
                <w14:textFill>
                  <w14:solidFill>
                    <w14:schemeClr w14:val="tx1"/>
                  </w14:solidFill>
                </w14:textFill>
              </w:rPr>
              <w:t>”）、松下亚洲太平洋公司（松下全资子公司）和</w:t>
            </w:r>
            <w:r>
              <w:rPr>
                <w:rFonts w:hint="eastAsia" w:ascii="Times New Roman" w:hAnsi="Times New Roman" w:cs="楷体"/>
                <w:color w:val="000000" w:themeColor="text1"/>
                <w:sz w:val="24"/>
                <w:szCs w:val="24"/>
                <w:lang w:bidi="ar"/>
                <w14:textFill>
                  <w14:solidFill>
                    <w14:schemeClr w14:val="tx1"/>
                  </w14:solidFill>
                </w14:textFill>
              </w:rPr>
              <w:fldChar w:fldCharType="begin"/>
            </w:r>
            <w:r>
              <w:rPr>
                <w:rFonts w:hint="eastAsia" w:ascii="Times New Roman" w:hAnsi="Times New Roman" w:cs="楷体"/>
                <w:color w:val="000000" w:themeColor="text1"/>
                <w:sz w:val="24"/>
                <w:szCs w:val="24"/>
                <w:lang w:bidi="ar"/>
                <w14:textFill>
                  <w14:solidFill>
                    <w14:schemeClr w14:val="tx1"/>
                  </w14:solidFill>
                </w14:textFill>
              </w:rPr>
              <w:instrText xml:space="preserve"> HYPERLINK "http://www.baidu.com/link?url=4GSrgDWIpLJwZKNIwCG1mVfPs3rSZ0suJkGHVMkapEgjmCGG72G0kFmIFUYk0KjopmQCUwjA1RjjC_HC_9ZomzLz8BSgk7c-N04JRvHdZsy" \t "https://www.baidu.com/_blank" </w:instrText>
            </w:r>
            <w:r>
              <w:rPr>
                <w:rFonts w:hint="eastAsia" w:ascii="Times New Roman" w:hAnsi="Times New Roman" w:cs="楷体"/>
                <w:color w:val="000000" w:themeColor="text1"/>
                <w:sz w:val="24"/>
                <w:szCs w:val="24"/>
                <w:lang w:bidi="ar"/>
                <w14:textFill>
                  <w14:solidFill>
                    <w14:schemeClr w14:val="tx1"/>
                  </w14:solidFill>
                </w14:textFill>
              </w:rPr>
              <w:fldChar w:fldCharType="separate"/>
            </w:r>
            <w:r>
              <w:rPr>
                <w:rFonts w:hint="eastAsia" w:ascii="Times New Roman" w:hAnsi="Times New Roman" w:cs="楷体"/>
                <w:color w:val="000000" w:themeColor="text1"/>
                <w:sz w:val="24"/>
                <w:szCs w:val="24"/>
                <w:lang w:bidi="ar"/>
                <w14:textFill>
                  <w14:solidFill>
                    <w14:schemeClr w14:val="tx1"/>
                  </w14:solidFill>
                </w14:textFill>
              </w:rPr>
              <w:t>太平洋咨询株式会社</w:t>
            </w:r>
            <w:r>
              <w:rPr>
                <w:rFonts w:hint="eastAsia" w:ascii="Times New Roman" w:hAnsi="Times New Roman" w:cs="楷体"/>
                <w:color w:val="000000" w:themeColor="text1"/>
                <w:sz w:val="24"/>
                <w:szCs w:val="24"/>
                <w:lang w:bidi="ar"/>
                <w14:textFill>
                  <w14:solidFill>
                    <w14:schemeClr w14:val="tx1"/>
                  </w14:solidFill>
                </w14:textFill>
              </w:rPr>
              <w:fldChar w:fldCharType="end"/>
            </w:r>
            <w:r>
              <w:rPr>
                <w:rFonts w:hint="eastAsia" w:ascii="Times New Roman" w:hAnsi="Times New Roman" w:cs="楷体"/>
                <w:color w:val="000000" w:themeColor="text1"/>
                <w:sz w:val="24"/>
                <w:szCs w:val="24"/>
                <w:lang w:bidi="ar"/>
                <w14:textFill>
                  <w14:solidFill>
                    <w14:schemeClr w14:val="tx1"/>
                  </w14:solidFill>
                </w14:textFill>
              </w:rPr>
              <w:t>达成合营企业协议，旨在印度尼西亚共和国开展的电动摩托车</w:t>
            </w:r>
            <w:r>
              <w:rPr>
                <w:rFonts w:hint="eastAsia" w:ascii="Times New Roman" w:hAnsi="Times New Roman" w:cs="楷体"/>
                <w:color w:val="000000" w:themeColor="text1"/>
                <w:sz w:val="24"/>
                <w:szCs w:val="24"/>
                <w:lang w:eastAsia="zh-CN" w:bidi="ar"/>
                <w14:textFill>
                  <w14:solidFill>
                    <w14:schemeClr w14:val="tx1"/>
                  </w14:solidFill>
                </w14:textFill>
              </w:rPr>
              <w:t>用</w:t>
            </w:r>
            <w:r>
              <w:rPr>
                <w:rFonts w:hint="eastAsia" w:ascii="Times New Roman" w:hAnsi="Times New Roman" w:cs="楷体"/>
                <w:color w:val="000000" w:themeColor="text1"/>
                <w:sz w:val="24"/>
                <w:szCs w:val="24"/>
                <w:lang w:bidi="ar"/>
                <w14:textFill>
                  <w14:solidFill>
                    <w14:schemeClr w14:val="tx1"/>
                  </w14:solidFill>
                </w14:textFill>
              </w:rPr>
              <w:t>电池交换站示范</w:t>
            </w:r>
            <w:r>
              <w:rPr>
                <w:rFonts w:hint="eastAsia" w:ascii="Times New Roman" w:hAnsi="Times New Roman" w:cs="楷体"/>
                <w:color w:val="000000" w:themeColor="text1"/>
                <w:sz w:val="24"/>
                <w:szCs w:val="24"/>
                <w:lang w:eastAsia="zh-CN" w:bidi="ar"/>
                <w14:textFill>
                  <w14:solidFill>
                    <w14:schemeClr w14:val="tx1"/>
                  </w14:solidFill>
                </w14:textFill>
              </w:rPr>
              <w:t>试验</w:t>
            </w:r>
            <w:r>
              <w:rPr>
                <w:rFonts w:hint="eastAsia" w:ascii="Times New Roman" w:hAnsi="Times New Roman" w:cs="楷体"/>
                <w:color w:val="000000" w:themeColor="text1"/>
                <w:sz w:val="24"/>
                <w:szCs w:val="24"/>
                <w:lang w:bidi="ar"/>
                <w14:textFill>
                  <w14:solidFill>
                    <w14:schemeClr w14:val="tx1"/>
                  </w14:solidFill>
                </w14:textFill>
              </w:rPr>
              <w:t>的合营业务进行合作（</w:t>
            </w:r>
            <w:r>
              <w:rPr>
                <w:rFonts w:hint="eastAsia" w:ascii="Times New Roman" w:hAnsi="Times New Roman" w:cs="楷体"/>
                <w:b w:val="0"/>
                <w:bCs w:val="0"/>
                <w:color w:val="000000" w:themeColor="text1"/>
                <w:sz w:val="24"/>
                <w:szCs w:val="24"/>
                <w:lang w:bidi="ar"/>
                <w14:textFill>
                  <w14:solidFill>
                    <w14:schemeClr w14:val="tx1"/>
                  </w14:solidFill>
                </w14:textFill>
              </w:rPr>
              <w:t>本</w:t>
            </w:r>
            <w:r>
              <w:rPr>
                <w:rFonts w:hint="eastAsia" w:ascii="Times New Roman" w:hAnsi="Times New Roman" w:cs="楷体"/>
                <w:color w:val="000000" w:themeColor="text1"/>
                <w:sz w:val="24"/>
                <w:szCs w:val="24"/>
                <w:lang w:bidi="ar"/>
                <w14:textFill>
                  <w14:solidFill>
                    <w14:schemeClr w14:val="tx1"/>
                  </w14:solidFill>
                </w14:textFill>
              </w:rPr>
              <w:t>“</w:t>
            </w:r>
            <w:r>
              <w:rPr>
                <w:rFonts w:hint="eastAsia" w:ascii="Times New Roman" w:hAnsi="Times New Roman" w:cs="楷体"/>
                <w:b/>
                <w:bCs/>
                <w:color w:val="000000" w:themeColor="text1"/>
                <w:sz w:val="24"/>
                <w:szCs w:val="24"/>
                <w:lang w:bidi="ar"/>
                <w14:textFill>
                  <w14:solidFill>
                    <w14:schemeClr w14:val="tx1"/>
                  </w14:solidFill>
                </w14:textFill>
              </w:rPr>
              <w:t>交易</w:t>
            </w:r>
            <w:r>
              <w:rPr>
                <w:rFonts w:hint="eastAsia" w:ascii="Times New Roman" w:hAnsi="Times New Roman" w:cs="楷体"/>
                <w:color w:val="000000" w:themeColor="text1"/>
                <w:sz w:val="24"/>
                <w:szCs w:val="24"/>
                <w:lang w:bidi="ar"/>
                <w14:textFill>
                  <w14:solidFill>
                    <w14:schemeClr w14:val="tx1"/>
                  </w14:solidFill>
                </w14:textFill>
              </w:rPr>
              <w:t>”）。</w:t>
            </w:r>
          </w:p>
          <w:p>
            <w:pPr>
              <w:rPr>
                <w:rFonts w:hint="eastAsia" w:ascii="Times New Roman" w:hAnsi="Times New Roman" w:cs="楷体"/>
                <w:color w:val="000000" w:themeColor="text1"/>
                <w:sz w:val="24"/>
                <w:szCs w:val="24"/>
                <w:lang w:bidi="ar"/>
                <w14:textFill>
                  <w14:solidFill>
                    <w14:schemeClr w14:val="tx1"/>
                  </w14:solidFill>
                </w14:textFill>
              </w:rPr>
            </w:pPr>
          </w:p>
          <w:p>
            <w:pPr>
              <w:rPr>
                <w:rFonts w:ascii="Times New Roman" w:hAnsi="Times New Roman" w:cs="楷体"/>
                <w:color w:val="000000" w:themeColor="text1"/>
                <w:sz w:val="24"/>
                <w:szCs w:val="24"/>
                <w:lang w:bidi="ar"/>
                <w14:textFill>
                  <w14:solidFill>
                    <w14:schemeClr w14:val="tx1"/>
                  </w14:solidFill>
                </w14:textFill>
              </w:rPr>
            </w:pPr>
            <w:r>
              <w:rPr>
                <w:rFonts w:hint="eastAsia" w:ascii="Times New Roman" w:hAnsi="Times New Roman" w:cs="楷体"/>
                <w:color w:val="000000" w:themeColor="text1"/>
                <w:sz w:val="24"/>
                <w:szCs w:val="24"/>
                <w:lang w:bidi="ar"/>
                <w14:textFill>
                  <w14:solidFill>
                    <w14:schemeClr w14:val="tx1"/>
                  </w14:solidFill>
                </w14:textFill>
              </w:rPr>
              <w:t>在本次交易后，本田和松下将共同控制合营企业。</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3" w:hRule="atLeast"/>
        </w:trPr>
        <w:tc>
          <w:tcPr>
            <w:tcW w:w="1809" w:type="dxa"/>
            <w:vMerge w:val="restart"/>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参与集中的经营者简介</w:t>
            </w:r>
          </w:p>
        </w:tc>
        <w:tc>
          <w:tcPr>
            <w:tcW w:w="1796" w:type="dxa"/>
            <w:vAlign w:val="center"/>
          </w:tcPr>
          <w:p>
            <w:pPr>
              <w:rPr>
                <w:rFonts w:ascii="Times New Roman" w:hAnsi="Times New Roman" w:cs="楷体"/>
                <w:color w:val="000000" w:themeColor="text1"/>
                <w:sz w:val="24"/>
                <w:szCs w:val="24"/>
                <w14:textFill>
                  <w14:solidFill>
                    <w14:schemeClr w14:val="tx1"/>
                  </w14:solidFill>
                </w14:textFill>
              </w:rPr>
            </w:pPr>
            <w:r>
              <w:rPr>
                <w:rFonts w:hint="eastAsia" w:ascii="Times New Roman" w:hAnsi="Times New Roman" w:cs="楷体"/>
                <w:color w:val="000000" w:themeColor="text1"/>
                <w:sz w:val="24"/>
                <w:szCs w:val="24"/>
                <w14:textFill>
                  <w14:solidFill>
                    <w14:schemeClr w14:val="tx1"/>
                  </w14:solidFill>
                </w14:textFill>
              </w:rPr>
              <w:t>1、本田</w:t>
            </w:r>
          </w:p>
        </w:tc>
        <w:tc>
          <w:tcPr>
            <w:tcW w:w="5153" w:type="dxa"/>
            <w:vAlign w:val="center"/>
          </w:tcPr>
          <w:p>
            <w:pPr>
              <w:widowControl/>
              <w:snapToGrid w:val="0"/>
              <w:rPr>
                <w:rFonts w:ascii="Times New Roman" w:hAnsi="Times New Roman" w:cs="楷体"/>
                <w:color w:val="000000" w:themeColor="text1"/>
                <w:sz w:val="24"/>
                <w:szCs w:val="24"/>
                <w:lang w:bidi="ar"/>
                <w14:textFill>
                  <w14:solidFill>
                    <w14:schemeClr w14:val="tx1"/>
                  </w14:solidFill>
                </w14:textFill>
              </w:rPr>
            </w:pPr>
            <w:r>
              <w:rPr>
                <w:rFonts w:hint="eastAsia" w:ascii="Times New Roman" w:hAnsi="Times New Roman" w:cs="楷体"/>
                <w:color w:val="000000" w:themeColor="text1"/>
                <w:sz w:val="24"/>
                <w:szCs w:val="24"/>
                <w:lang w:bidi="ar"/>
                <w14:textFill>
                  <w14:solidFill>
                    <w14:schemeClr w14:val="tx1"/>
                  </w14:solidFill>
                </w14:textFill>
              </w:rPr>
              <w:t>本田依据日本法律成立于1948年，其业务范围包括汽车、摩托车、动力产品和航空产品</w:t>
            </w:r>
            <w:r>
              <w:rPr>
                <w:rFonts w:hint="eastAsia" w:ascii="Times New Roman" w:hAnsi="Times New Roman" w:cs="楷体"/>
                <w:color w:val="000000" w:themeColor="text1"/>
                <w:sz w:val="24"/>
                <w:szCs w:val="24"/>
                <w:lang w:eastAsia="zh-CN" w:bidi="ar"/>
                <w14:textFill>
                  <w14:solidFill>
                    <w14:schemeClr w14:val="tx1"/>
                  </w14:solidFill>
                </w14:textFill>
              </w:rPr>
              <w:t>的</w:t>
            </w:r>
            <w:r>
              <w:rPr>
                <w:rFonts w:hint="eastAsia" w:ascii="Times New Roman" w:hAnsi="Times New Roman" w:cs="楷体"/>
                <w:color w:val="000000" w:themeColor="text1"/>
                <w:sz w:val="24"/>
                <w:szCs w:val="24"/>
                <w:lang w:bidi="ar"/>
                <w14:textFill>
                  <w14:solidFill>
                    <w14:schemeClr w14:val="tx1"/>
                  </w14:solidFill>
                </w14:textFill>
              </w:rPr>
              <w:t>设计、生产和销售。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5"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1796" w:type="dxa"/>
            <w:vAlign w:val="center"/>
          </w:tcPr>
          <w:p>
            <w:pPr>
              <w:rPr>
                <w:rFonts w:ascii="Times New Roman" w:hAnsi="Times New Roman" w:cs="楷体"/>
                <w:color w:val="000000" w:themeColor="text1"/>
                <w:sz w:val="24"/>
                <w:szCs w:val="24"/>
                <w14:textFill>
                  <w14:solidFill>
                    <w14:schemeClr w14:val="tx1"/>
                  </w14:solidFill>
                </w14:textFill>
              </w:rPr>
            </w:pPr>
            <w:r>
              <w:rPr>
                <w:rFonts w:hint="eastAsia" w:ascii="Times New Roman" w:hAnsi="Times New Roman" w:cs="楷体"/>
                <w:color w:val="000000" w:themeColor="text1"/>
                <w:sz w:val="24"/>
                <w:szCs w:val="24"/>
                <w14:textFill>
                  <w14:solidFill>
                    <w14:schemeClr w14:val="tx1"/>
                  </w14:solidFill>
                </w14:textFill>
              </w:rPr>
              <w:t>2、松下</w:t>
            </w:r>
          </w:p>
        </w:tc>
        <w:tc>
          <w:tcPr>
            <w:tcW w:w="5153" w:type="dxa"/>
            <w:vAlign w:val="center"/>
          </w:tcPr>
          <w:p>
            <w:pPr>
              <w:rPr>
                <w:rFonts w:ascii="Times New Roman" w:hAnsi="Times New Roman" w:cs="楷体"/>
                <w:color w:val="000000" w:themeColor="text1"/>
                <w:sz w:val="24"/>
                <w:szCs w:val="24"/>
                <w:lang w:bidi="ar"/>
                <w14:textFill>
                  <w14:solidFill>
                    <w14:schemeClr w14:val="tx1"/>
                  </w14:solidFill>
                </w14:textFill>
              </w:rPr>
            </w:pPr>
            <w:r>
              <w:rPr>
                <w:rFonts w:hint="eastAsia" w:ascii="Times New Roman" w:hAnsi="Times New Roman" w:cs="楷体"/>
                <w:color w:val="000000" w:themeColor="text1"/>
                <w:sz w:val="24"/>
                <w:szCs w:val="24"/>
                <w:lang w:bidi="ar"/>
                <w14:textFill>
                  <w14:solidFill>
                    <w14:schemeClr w14:val="tx1"/>
                  </w14:solidFill>
                </w14:textFill>
              </w:rPr>
              <w:t>松下依据日本法律成立于1918年。松下有四大核心业务领域，包括家用电子产品、住宅、汽车和B2B。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简易案件理由（可以单选，也可以多选）</w:t>
            </w: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□1、在同一相关市场，所有参与集中的经营者所占市场份额之和小于</w:t>
            </w:r>
            <w:r>
              <w:rPr>
                <w:rFonts w:ascii="Times New Roman" w:hAnsi="Times New Roman"/>
                <w:color w:val="000000" w:themeColor="text1"/>
                <w:sz w:val="24"/>
                <w:szCs w:val="24"/>
                <w14:textFill>
                  <w14:solidFill>
                    <w14:schemeClr w14:val="tx1"/>
                  </w14:solidFill>
                </w14:textFill>
              </w:rPr>
              <w:t>15%</w:t>
            </w:r>
            <w:r>
              <w:rPr>
                <w:rFonts w:hint="eastAsia" w:ascii="Times New Roman" w:hAnsi="Times New Roman"/>
                <w:color w:val="000000" w:themeColor="text1"/>
                <w:sz w:val="24"/>
                <w:szCs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FE"/>
            </w:r>
            <w:r>
              <w:rPr>
                <w:rFonts w:hint="eastAsia" w:ascii="Times New Roman" w:hAnsi="Times New Roman"/>
                <w:color w:val="000000" w:themeColor="text1"/>
                <w:sz w:val="24"/>
                <w:szCs w:val="24"/>
                <w14:textFill>
                  <w14:solidFill>
                    <w14:schemeClr w14:val="tx1"/>
                  </w14:solidFill>
                </w14:textFill>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FE"/>
            </w:r>
            <w:r>
              <w:rPr>
                <w:rFonts w:hint="eastAsia" w:ascii="Times New Roman" w:hAnsi="Times New Roman"/>
                <w:color w:val="000000" w:themeColor="text1"/>
                <w:sz w:val="24"/>
                <w:szCs w:val="24"/>
                <w14:textFill>
                  <w14:solidFill>
                    <w14:schemeClr w14:val="tx1"/>
                  </w14:solidFill>
                </w14:textFill>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p>
        </w:tc>
        <w:tc>
          <w:tcPr>
            <w:tcW w:w="6949" w:type="dxa"/>
            <w:gridSpan w:val="2"/>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备注</w:t>
            </w:r>
          </w:p>
        </w:tc>
        <w:tc>
          <w:tcPr>
            <w:tcW w:w="6949" w:type="dxa"/>
            <w:gridSpan w:val="2"/>
          </w:tcPr>
          <w:tbl>
            <w:tblPr>
              <w:tblStyle w:val="14"/>
              <w:tblW w:w="68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70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6" w:type="dxa"/>
                </w:tcPr>
                <w:p>
                  <w:pPr>
                    <w:widowControl/>
                    <w:snapToGrid w:val="0"/>
                    <w:spacing w:before="120" w:after="120"/>
                    <w:jc w:val="left"/>
                    <w:rPr>
                      <w:b/>
                      <w:sz w:val="24"/>
                      <w:szCs w:val="24"/>
                    </w:rPr>
                  </w:pPr>
                  <w:r>
                    <w:rPr>
                      <w:rFonts w:hint="eastAsia"/>
                      <w:b/>
                      <w:sz w:val="24"/>
                      <w:szCs w:val="24"/>
                    </w:rPr>
                    <w:t>相关产品市场</w:t>
                  </w:r>
                </w:p>
              </w:tc>
              <w:tc>
                <w:tcPr>
                  <w:tcW w:w="1701" w:type="dxa"/>
                </w:tcPr>
                <w:p>
                  <w:pPr>
                    <w:widowControl/>
                    <w:snapToGrid w:val="0"/>
                    <w:spacing w:before="120" w:after="120"/>
                    <w:jc w:val="left"/>
                    <w:rPr>
                      <w:b/>
                      <w:sz w:val="24"/>
                      <w:szCs w:val="24"/>
                    </w:rPr>
                  </w:pPr>
                  <w:r>
                    <w:rPr>
                      <w:rFonts w:hint="eastAsia"/>
                      <w:b/>
                      <w:sz w:val="24"/>
                      <w:szCs w:val="24"/>
                    </w:rPr>
                    <w:t>相关地域市场</w:t>
                  </w:r>
                </w:p>
              </w:tc>
              <w:tc>
                <w:tcPr>
                  <w:tcW w:w="2126" w:type="dxa"/>
                </w:tcPr>
                <w:p>
                  <w:pPr>
                    <w:widowControl/>
                    <w:snapToGrid w:val="0"/>
                    <w:spacing w:before="120" w:after="120"/>
                    <w:jc w:val="left"/>
                    <w:rPr>
                      <w:b/>
                      <w:sz w:val="24"/>
                      <w:szCs w:val="24"/>
                    </w:rPr>
                  </w:pPr>
                  <w:r>
                    <w:rPr>
                      <w:rFonts w:hint="eastAsia"/>
                      <w:b/>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6" w:type="dxa"/>
                </w:tcPr>
                <w:p>
                  <w:pPr>
                    <w:widowControl/>
                    <w:snapToGrid w:val="0"/>
                    <w:spacing w:before="120" w:after="120"/>
                    <w:rPr>
                      <w:bCs/>
                      <w:sz w:val="24"/>
                      <w:szCs w:val="24"/>
                    </w:rPr>
                  </w:pPr>
                  <w:r>
                    <w:rPr>
                      <w:rFonts w:hint="eastAsia"/>
                      <w:bCs/>
                      <w:sz w:val="24"/>
                      <w:szCs w:val="24"/>
                    </w:rPr>
                    <w:t>电动摩托车用动力锂离子电池</w:t>
                  </w:r>
                </w:p>
              </w:tc>
              <w:tc>
                <w:tcPr>
                  <w:tcW w:w="1701" w:type="dxa"/>
                </w:tcPr>
                <w:p>
                  <w:pPr>
                    <w:widowControl/>
                    <w:snapToGrid w:val="0"/>
                    <w:spacing w:before="120" w:after="120"/>
                    <w:jc w:val="left"/>
                    <w:rPr>
                      <w:b/>
                      <w:sz w:val="24"/>
                      <w:szCs w:val="24"/>
                    </w:rPr>
                  </w:pPr>
                  <w:r>
                    <w:rPr>
                      <w:rFonts w:hint="eastAsia"/>
                      <w:bCs/>
                      <w:sz w:val="24"/>
                      <w:szCs w:val="24"/>
                    </w:rPr>
                    <w:t>国别市场</w:t>
                  </w:r>
                </w:p>
              </w:tc>
              <w:tc>
                <w:tcPr>
                  <w:tcW w:w="2126" w:type="dxa"/>
                </w:tcPr>
                <w:p>
                  <w:pPr>
                    <w:widowControl/>
                    <w:snapToGrid w:val="0"/>
                    <w:spacing w:before="120" w:after="120"/>
                    <w:jc w:val="left"/>
                    <w:rPr>
                      <w:b/>
                      <w:sz w:val="24"/>
                      <w:szCs w:val="24"/>
                    </w:rPr>
                  </w:pPr>
                  <w:r>
                    <w:rPr>
                      <w:rFonts w:hint="eastAsia"/>
                      <w:bCs/>
                      <w:sz w:val="24"/>
                      <w:szCs w:val="24"/>
                    </w:rPr>
                    <w:t>松下：</w:t>
                  </w:r>
                  <w:r>
                    <w:rPr>
                      <w:bCs/>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06" w:type="dxa"/>
                </w:tcPr>
                <w:p>
                  <w:pPr>
                    <w:widowControl/>
                    <w:snapToGrid w:val="0"/>
                    <w:spacing w:before="120" w:after="120"/>
                    <w:rPr>
                      <w:bCs/>
                      <w:sz w:val="24"/>
                      <w:szCs w:val="24"/>
                    </w:rPr>
                  </w:pPr>
                  <w:r>
                    <w:rPr>
                      <w:rFonts w:hint="eastAsia"/>
                      <w:bCs/>
                      <w:sz w:val="24"/>
                      <w:szCs w:val="24"/>
                    </w:rPr>
                    <w:t>电动摩托车用电池交换站</w:t>
                  </w:r>
                </w:p>
              </w:tc>
              <w:tc>
                <w:tcPr>
                  <w:tcW w:w="1701" w:type="dxa"/>
                </w:tcPr>
                <w:p>
                  <w:pPr>
                    <w:widowControl/>
                    <w:snapToGrid w:val="0"/>
                    <w:spacing w:before="120" w:after="120"/>
                    <w:jc w:val="left"/>
                    <w:rPr>
                      <w:b/>
                      <w:sz w:val="24"/>
                      <w:szCs w:val="24"/>
                    </w:rPr>
                  </w:pPr>
                  <w:r>
                    <w:rPr>
                      <w:rFonts w:hint="eastAsia"/>
                      <w:bCs/>
                      <w:sz w:val="24"/>
                      <w:szCs w:val="24"/>
                    </w:rPr>
                    <w:t>国别市场</w:t>
                  </w:r>
                </w:p>
              </w:tc>
              <w:tc>
                <w:tcPr>
                  <w:tcW w:w="2126" w:type="dxa"/>
                </w:tcPr>
                <w:p>
                  <w:pPr>
                    <w:widowControl/>
                    <w:snapToGrid w:val="0"/>
                    <w:spacing w:before="120" w:after="120"/>
                    <w:jc w:val="left"/>
                    <w:rPr>
                      <w:bCs/>
                      <w:sz w:val="24"/>
                      <w:szCs w:val="24"/>
                    </w:rPr>
                  </w:pPr>
                  <w:r>
                    <w:rPr>
                      <w:rFonts w:hint="eastAsia"/>
                      <w:bCs/>
                      <w:sz w:val="24"/>
                      <w:szCs w:val="24"/>
                    </w:rPr>
                    <w:t>合营企业</w:t>
                  </w:r>
                  <w:r>
                    <w:rPr>
                      <w:bCs/>
                      <w:sz w:val="24"/>
                      <w:szCs w:val="24"/>
                    </w:rPr>
                    <w:t>:</w:t>
                  </w:r>
                  <w:r>
                    <w:rPr>
                      <w:rFonts w:hint="eastAsia"/>
                      <w:bCs/>
                      <w:sz w:val="24"/>
                      <w:szCs w:val="24"/>
                    </w:rPr>
                    <w:t xml:space="preserve"> </w:t>
                  </w:r>
                  <w:r>
                    <w:rPr>
                      <w:bCs/>
                      <w:sz w:val="24"/>
                      <w:szCs w:val="24"/>
                    </w:rPr>
                    <w:t>[0-5]%</w:t>
                  </w:r>
                </w:p>
              </w:tc>
            </w:tr>
          </w:tbl>
          <w:p>
            <w:pPr>
              <w:snapToGrid w:val="0"/>
              <w:rPr>
                <w:rFonts w:ascii="Times New Roman" w:hAnsi="Times New Roman"/>
                <w:color w:val="000000" w:themeColor="text1"/>
                <w:sz w:val="24"/>
                <w:szCs w:val="24"/>
                <w14:textFill>
                  <w14:solidFill>
                    <w14:schemeClr w14:val="tx1"/>
                  </w14:solidFill>
                </w14:textFill>
              </w:rPr>
            </w:pPr>
          </w:p>
        </w:tc>
      </w:tr>
    </w:tbl>
    <w:p>
      <w:pPr>
        <w:snapToGrid w:val="0"/>
        <w:spacing w:line="240" w:lineRule="exact"/>
        <w:jc w:val="left"/>
        <w:rPr>
          <w:rFonts w:ascii="宋体" w:hAnsi="宋体"/>
          <w:sz w:val="24"/>
          <w:szCs w:val="24"/>
        </w:rPr>
      </w:pPr>
    </w:p>
    <w:p>
      <w:pPr>
        <w:snapToGrid w:val="0"/>
        <w:spacing w:line="240" w:lineRule="exact"/>
        <w:jc w:val="left"/>
        <w:rPr>
          <w:rFonts w:ascii="宋体" w:hAnsi="宋体"/>
          <w:sz w:val="24"/>
          <w:szCs w:val="24"/>
        </w:rPr>
      </w:pPr>
      <w:r>
        <w:rPr>
          <w:rFonts w:hint="eastAsia" w:ascii="宋体" w:hAnsi="宋体"/>
          <w:sz w:val="24"/>
          <w:szCs w:val="24"/>
        </w:rPr>
        <w:t>注解：</w:t>
      </w:r>
    </w:p>
    <w:p>
      <w:pPr>
        <w:snapToGrid w:val="0"/>
        <w:spacing w:line="360" w:lineRule="auto"/>
        <w:ind w:firstLine="480" w:firstLineChars="200"/>
        <w:jc w:val="left"/>
        <w:rPr>
          <w:rFonts w:ascii="宋体" w:hAnsi="宋体"/>
          <w:sz w:val="24"/>
          <w:szCs w:val="24"/>
        </w:rPr>
      </w:pPr>
      <w:r>
        <w:rPr>
          <w:rFonts w:ascii="宋体" w:hAnsi="宋体"/>
          <w:sz w:val="24"/>
          <w:szCs w:val="24"/>
        </w:rPr>
        <w:t>1</w:t>
      </w:r>
      <w:r>
        <w:rPr>
          <w:rFonts w:hint="eastAsia" w:ascii="宋体" w:hAnsi="宋体"/>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宋体" w:hAnsi="宋体"/>
          <w:sz w:val="24"/>
          <w:szCs w:val="24"/>
        </w:rPr>
      </w:pPr>
      <w:r>
        <w:rPr>
          <w:rFonts w:hint="eastAsia" w:ascii="宋体" w:hAnsi="宋体"/>
          <w:sz w:val="24"/>
          <w:szCs w:val="24"/>
        </w:rPr>
        <w:t>2、申报方申请简易案件的理由是基于第4项、第5项时，无须在备注中说明相关市场和市场份额。</w:t>
      </w:r>
      <w:r>
        <w:rPr>
          <w:rFonts w:hint="eastAsia" w:ascii="宋体" w:hAnsi="宋体"/>
          <w:sz w:val="24"/>
          <w:szCs w:val="24"/>
        </w:rPr>
        <w:br w:type="textWrapping"/>
      </w:r>
      <w:r>
        <w:rPr>
          <w:rFonts w:hint="eastAsia" w:ascii="宋体" w:hAnsi="宋体"/>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ascii="宋体" w:hAnsi="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20C3"/>
    <w:rsid w:val="000134E8"/>
    <w:rsid w:val="000677EF"/>
    <w:rsid w:val="00083418"/>
    <w:rsid w:val="00094095"/>
    <w:rsid w:val="000A14BB"/>
    <w:rsid w:val="000D5955"/>
    <w:rsid w:val="000F04BF"/>
    <w:rsid w:val="00164331"/>
    <w:rsid w:val="001E0AA5"/>
    <w:rsid w:val="002023BE"/>
    <w:rsid w:val="00202BEC"/>
    <w:rsid w:val="00210DCE"/>
    <w:rsid w:val="002355AF"/>
    <w:rsid w:val="002366BB"/>
    <w:rsid w:val="002454B9"/>
    <w:rsid w:val="00245776"/>
    <w:rsid w:val="00257E63"/>
    <w:rsid w:val="00270CCF"/>
    <w:rsid w:val="00277C80"/>
    <w:rsid w:val="0029549A"/>
    <w:rsid w:val="002A3524"/>
    <w:rsid w:val="002C5185"/>
    <w:rsid w:val="002D5426"/>
    <w:rsid w:val="002F2D60"/>
    <w:rsid w:val="002F7881"/>
    <w:rsid w:val="00307976"/>
    <w:rsid w:val="0033679C"/>
    <w:rsid w:val="00352484"/>
    <w:rsid w:val="003623D7"/>
    <w:rsid w:val="0036298A"/>
    <w:rsid w:val="00363646"/>
    <w:rsid w:val="00384E48"/>
    <w:rsid w:val="003A09C9"/>
    <w:rsid w:val="003F431C"/>
    <w:rsid w:val="00436A59"/>
    <w:rsid w:val="004373A2"/>
    <w:rsid w:val="00462174"/>
    <w:rsid w:val="004671F7"/>
    <w:rsid w:val="004676DF"/>
    <w:rsid w:val="00486565"/>
    <w:rsid w:val="004C1240"/>
    <w:rsid w:val="004D4A3D"/>
    <w:rsid w:val="00504C35"/>
    <w:rsid w:val="005050E9"/>
    <w:rsid w:val="00566644"/>
    <w:rsid w:val="00596BF5"/>
    <w:rsid w:val="005F167B"/>
    <w:rsid w:val="00602662"/>
    <w:rsid w:val="006412A3"/>
    <w:rsid w:val="0069442D"/>
    <w:rsid w:val="006C3F7A"/>
    <w:rsid w:val="00727977"/>
    <w:rsid w:val="00757B15"/>
    <w:rsid w:val="007B7F94"/>
    <w:rsid w:val="007D16CA"/>
    <w:rsid w:val="007D4F8A"/>
    <w:rsid w:val="007D7EFB"/>
    <w:rsid w:val="007E6165"/>
    <w:rsid w:val="008208A0"/>
    <w:rsid w:val="00821298"/>
    <w:rsid w:val="00857500"/>
    <w:rsid w:val="0087671E"/>
    <w:rsid w:val="00890605"/>
    <w:rsid w:val="008E3473"/>
    <w:rsid w:val="00911375"/>
    <w:rsid w:val="009115AA"/>
    <w:rsid w:val="00911606"/>
    <w:rsid w:val="00956308"/>
    <w:rsid w:val="00976846"/>
    <w:rsid w:val="00976E5B"/>
    <w:rsid w:val="00992D10"/>
    <w:rsid w:val="009A0DA1"/>
    <w:rsid w:val="00A03B6C"/>
    <w:rsid w:val="00A23C5C"/>
    <w:rsid w:val="00A46243"/>
    <w:rsid w:val="00A5601F"/>
    <w:rsid w:val="00A71F19"/>
    <w:rsid w:val="00A80785"/>
    <w:rsid w:val="00A81165"/>
    <w:rsid w:val="00A81366"/>
    <w:rsid w:val="00A877D1"/>
    <w:rsid w:val="00AB1AE7"/>
    <w:rsid w:val="00AB4321"/>
    <w:rsid w:val="00AB56E9"/>
    <w:rsid w:val="00AB6C08"/>
    <w:rsid w:val="00AC7639"/>
    <w:rsid w:val="00AD0AF8"/>
    <w:rsid w:val="00AD6C59"/>
    <w:rsid w:val="00B04D8E"/>
    <w:rsid w:val="00B900D5"/>
    <w:rsid w:val="00B9091E"/>
    <w:rsid w:val="00B955F5"/>
    <w:rsid w:val="00BA0750"/>
    <w:rsid w:val="00BB2377"/>
    <w:rsid w:val="00BB494A"/>
    <w:rsid w:val="00C04FCA"/>
    <w:rsid w:val="00C45095"/>
    <w:rsid w:val="00C45850"/>
    <w:rsid w:val="00C4717E"/>
    <w:rsid w:val="00C66FFC"/>
    <w:rsid w:val="00C70A8F"/>
    <w:rsid w:val="00C9068E"/>
    <w:rsid w:val="00CA0123"/>
    <w:rsid w:val="00CA119A"/>
    <w:rsid w:val="00CF4890"/>
    <w:rsid w:val="00D21777"/>
    <w:rsid w:val="00D51700"/>
    <w:rsid w:val="00D71002"/>
    <w:rsid w:val="00D721DF"/>
    <w:rsid w:val="00DA4434"/>
    <w:rsid w:val="00E13A56"/>
    <w:rsid w:val="00E409F4"/>
    <w:rsid w:val="00E677B7"/>
    <w:rsid w:val="00E83371"/>
    <w:rsid w:val="00E94D94"/>
    <w:rsid w:val="00ED21B1"/>
    <w:rsid w:val="00ED2EDC"/>
    <w:rsid w:val="00F12226"/>
    <w:rsid w:val="00F43308"/>
    <w:rsid w:val="00F676FD"/>
    <w:rsid w:val="00F71C4A"/>
    <w:rsid w:val="00F87C1F"/>
    <w:rsid w:val="00FA6C01"/>
    <w:rsid w:val="00FC0FB5"/>
    <w:rsid w:val="00FC68CA"/>
    <w:rsid w:val="00FD5FC9"/>
    <w:rsid w:val="037F343B"/>
    <w:rsid w:val="03A24881"/>
    <w:rsid w:val="098A4D9D"/>
    <w:rsid w:val="09E06F63"/>
    <w:rsid w:val="10D843E8"/>
    <w:rsid w:val="12FE7AE9"/>
    <w:rsid w:val="163541CE"/>
    <w:rsid w:val="1A11362F"/>
    <w:rsid w:val="1C410B31"/>
    <w:rsid w:val="22B31228"/>
    <w:rsid w:val="25A004CD"/>
    <w:rsid w:val="284569B8"/>
    <w:rsid w:val="2B486108"/>
    <w:rsid w:val="2CFA36CC"/>
    <w:rsid w:val="2EC6246F"/>
    <w:rsid w:val="3939301F"/>
    <w:rsid w:val="3A591DD2"/>
    <w:rsid w:val="3B5532AC"/>
    <w:rsid w:val="3CF53A56"/>
    <w:rsid w:val="3ECD14DA"/>
    <w:rsid w:val="3F307C4F"/>
    <w:rsid w:val="42F2573A"/>
    <w:rsid w:val="4D9A099A"/>
    <w:rsid w:val="51E254A6"/>
    <w:rsid w:val="555C2B5C"/>
    <w:rsid w:val="5F97337E"/>
    <w:rsid w:val="60187A27"/>
    <w:rsid w:val="60C344AA"/>
    <w:rsid w:val="6470528B"/>
    <w:rsid w:val="648210BE"/>
    <w:rsid w:val="67A65E62"/>
    <w:rsid w:val="686C44CD"/>
    <w:rsid w:val="69CC240B"/>
    <w:rsid w:val="6AD41083"/>
    <w:rsid w:val="74984449"/>
    <w:rsid w:val="789B02BE"/>
    <w:rsid w:val="7BF27A7B"/>
    <w:rsid w:val="7DAC216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28"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14">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20"/>
    <w:semiHidden/>
    <w:unhideWhenUsed/>
    <w:qFormat/>
    <w:uiPriority w:val="99"/>
    <w:rPr>
      <w:b/>
      <w:bCs/>
    </w:rPr>
  </w:style>
  <w:style w:type="paragraph" w:styleId="3">
    <w:name w:val="annotation text"/>
    <w:basedOn w:val="1"/>
    <w:link w:val="19"/>
    <w:semiHidden/>
    <w:unhideWhenUsed/>
    <w:qFormat/>
    <w:uiPriority w:val="99"/>
    <w:pPr>
      <w:jc w:val="left"/>
    </w:pPr>
  </w:style>
  <w:style w:type="paragraph" w:styleId="4">
    <w:name w:val="endnote text"/>
    <w:basedOn w:val="1"/>
    <w:link w:val="16"/>
    <w:semiHidden/>
    <w:unhideWhenUsed/>
    <w:qFormat/>
    <w:uiPriority w:val="99"/>
    <w:pPr>
      <w:snapToGrid w:val="0"/>
      <w:jc w:val="left"/>
    </w:pPr>
  </w:style>
  <w:style w:type="paragraph" w:styleId="5">
    <w:name w:val="Balloon Text"/>
    <w:basedOn w:val="1"/>
    <w:link w:val="21"/>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qFormat/>
    <w:uiPriority w:val="99"/>
    <w:pPr>
      <w:snapToGrid w:val="0"/>
      <w:jc w:val="left"/>
    </w:pPr>
    <w:rPr>
      <w:sz w:val="18"/>
      <w:szCs w:val="18"/>
    </w:rPr>
  </w:style>
  <w:style w:type="character" w:styleId="10">
    <w:name w:val="endnote reference"/>
    <w:semiHidden/>
    <w:unhideWhenUsed/>
    <w:qFormat/>
    <w:uiPriority w:val="99"/>
    <w:rPr>
      <w:vertAlign w:val="superscript"/>
    </w:rPr>
  </w:style>
  <w:style w:type="character" w:styleId="11">
    <w:name w:val="Hyperlink"/>
    <w:basedOn w:val="9"/>
    <w:semiHidden/>
    <w:unhideWhenUsed/>
    <w:qFormat/>
    <w:uiPriority w:val="99"/>
    <w:rPr>
      <w:color w:val="0000FF"/>
      <w:u w:val="single"/>
    </w:rPr>
  </w:style>
  <w:style w:type="character" w:styleId="12">
    <w:name w:val="annotation reference"/>
    <w:basedOn w:val="9"/>
    <w:semiHidden/>
    <w:unhideWhenUsed/>
    <w:qFormat/>
    <w:uiPriority w:val="99"/>
    <w:rPr>
      <w:sz w:val="21"/>
      <w:szCs w:val="21"/>
    </w:rPr>
  </w:style>
  <w:style w:type="character" w:styleId="13">
    <w:name w:val="footnote reference"/>
    <w:qFormat/>
    <w:uiPriority w:val="28"/>
    <w:rPr>
      <w:vertAlign w:val="superscript"/>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6">
    <w:name w:val="尾注文本 Char"/>
    <w:basedOn w:val="9"/>
    <w:link w:val="4"/>
    <w:semiHidden/>
    <w:qFormat/>
    <w:uiPriority w:val="99"/>
  </w:style>
  <w:style w:type="character" w:customStyle="1" w:styleId="17">
    <w:name w:val="页眉 Char"/>
    <w:link w:val="7"/>
    <w:qFormat/>
    <w:uiPriority w:val="99"/>
    <w:rPr>
      <w:sz w:val="18"/>
      <w:szCs w:val="18"/>
    </w:rPr>
  </w:style>
  <w:style w:type="character" w:customStyle="1" w:styleId="18">
    <w:name w:val="页脚 Char"/>
    <w:link w:val="6"/>
    <w:qFormat/>
    <w:uiPriority w:val="99"/>
    <w:rPr>
      <w:sz w:val="18"/>
      <w:szCs w:val="18"/>
    </w:rPr>
  </w:style>
  <w:style w:type="character" w:customStyle="1" w:styleId="19">
    <w:name w:val="批注文字 Char"/>
    <w:basedOn w:val="9"/>
    <w:link w:val="3"/>
    <w:semiHidden/>
    <w:qFormat/>
    <w:uiPriority w:val="99"/>
    <w:rPr>
      <w:kern w:val="2"/>
      <w:sz w:val="21"/>
      <w:szCs w:val="22"/>
      <w:lang w:val="en-US" w:bidi="ar-SA"/>
    </w:rPr>
  </w:style>
  <w:style w:type="character" w:customStyle="1" w:styleId="20">
    <w:name w:val="批注主题 Char"/>
    <w:basedOn w:val="19"/>
    <w:link w:val="2"/>
    <w:semiHidden/>
    <w:qFormat/>
    <w:uiPriority w:val="99"/>
    <w:rPr>
      <w:b/>
      <w:bCs/>
      <w:kern w:val="2"/>
      <w:sz w:val="21"/>
      <w:szCs w:val="22"/>
      <w:lang w:val="en-US" w:bidi="ar-SA"/>
    </w:rPr>
  </w:style>
  <w:style w:type="character" w:customStyle="1" w:styleId="21">
    <w:name w:val="批注框文本 Char"/>
    <w:basedOn w:val="9"/>
    <w:link w:val="5"/>
    <w:semiHidden/>
    <w:qFormat/>
    <w:uiPriority w:val="99"/>
    <w:rPr>
      <w:kern w:val="2"/>
      <w:sz w:val="18"/>
      <w:szCs w:val="18"/>
      <w:lang w:val="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4D840B-E205-4743-BB59-5DBDF4D77A0B}">
  <ds:schemaRefs/>
</ds:datastoreItem>
</file>

<file path=docProps/app.xml><?xml version="1.0" encoding="utf-8"?>
<Properties xmlns="http://schemas.openxmlformats.org/officeDocument/2006/extended-properties" xmlns:vt="http://schemas.openxmlformats.org/officeDocument/2006/docPropsVTypes">
  <Template>Normal</Template>
  <Company>http://www.deepbbs.org</Company>
  <Pages>2</Pages>
  <Words>182</Words>
  <Characters>1041</Characters>
  <Lines>8</Lines>
  <Paragraphs>2</Paragraphs>
  <TotalTime>0</TotalTime>
  <ScaleCrop>false</ScaleCrop>
  <LinksUpToDate>false</LinksUpToDate>
  <CharactersWithSpaces>1221</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2018-05-30T14:39:00Z</dcterms:created>
  <dc:creator>dell</dc:creator>
  <cp:lastModifiedBy>T&amp;D</cp:lastModifiedBy>
  <cp:lastPrinted>2014-10-08T02:48:00Z</cp:lastPrinted>
  <dcterms:modified xsi:type="dcterms:W3CDTF">2018-08-30T03:42:16Z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A36122288</vt:lpwstr>
  </property>
  <property fmtid="{D5CDD505-2E9C-101B-9397-08002B2CF9AE}" pid="3" name="Version">
    <vt:lpwstr>0.7</vt:lpwstr>
  </property>
  <property fmtid="{D5CDD505-2E9C-101B-9397-08002B2CF9AE}" pid="4" name="Last Modified">
    <vt:lpwstr>19 Mar 2018</vt:lpwstr>
  </property>
  <property fmtid="{D5CDD505-2E9C-101B-9397-08002B2CF9AE}" pid="5" name="Matter Number">
    <vt:lpwstr>L-269343</vt:lpwstr>
  </property>
  <property fmtid="{D5CDD505-2E9C-101B-9397-08002B2CF9AE}" pid="6" name="Client Code">
    <vt:lpwstr>10253201</vt:lpwstr>
  </property>
  <property fmtid="{D5CDD505-2E9C-101B-9397-08002B2CF9AE}" pid="7" name="Mode">
    <vt:lpwstr>SendAs</vt:lpwstr>
  </property>
  <property fmtid="{D5CDD505-2E9C-101B-9397-08002B2CF9AE}" pid="8" name="DEDocumentLocation">
    <vt:lpwstr>C:\Users\aqlee\AppData\Local\Linklaters\DocExplorer\Attachments\180320_Ladder_Final Simple Case Publicity Form_CHN.docx</vt:lpwstr>
  </property>
  <property fmtid="{D5CDD505-2E9C-101B-9397-08002B2CF9AE}" pid="9" name="ObjectID">
    <vt:lpwstr>09001dc891a1b8db</vt:lpwstr>
  </property>
  <property fmtid="{D5CDD505-2E9C-101B-9397-08002B2CF9AE}" pid="10" name="KSOProductBuildVer">
    <vt:lpwstr>2052-10.1.0.7469</vt:lpwstr>
  </property>
</Properties>
</file>