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Theme="minorEastAsia" w:hAnsiTheme="minorEastAsia"/>
          <w:sz w:val="28"/>
          <w:szCs w:val="28"/>
        </w:rPr>
      </w:pPr>
      <w:r>
        <w:rPr>
          <w:rFonts w:hint="eastAsia" w:asciiTheme="minorEastAsia" w:hAnsiTheme="minorEastAsia"/>
          <w:sz w:val="28"/>
          <w:szCs w:val="28"/>
        </w:rPr>
        <w:t>附件二、</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jc w:val="center"/>
        <w:rPr>
          <w:rFonts w:ascii="黑体" w:hAnsi="Times New Roman" w:eastAsia="黑体"/>
          <w:sz w:val="30"/>
          <w:szCs w:val="30"/>
        </w:rPr>
      </w:pPr>
    </w:p>
    <w:tbl>
      <w:tblPr>
        <w:tblStyle w:val="11"/>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2559"/>
        <w:gridCol w:w="5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2" w:type="dxa"/>
            <w:shd w:val="clear" w:color="auto" w:fill="D9D9D9"/>
          </w:tcPr>
          <w:p>
            <w:pPr>
              <w:spacing w:line="500" w:lineRule="exact"/>
              <w:rPr>
                <w:rFonts w:ascii="Times New Roman" w:hAnsi="Times New Roman"/>
                <w:sz w:val="24"/>
                <w:szCs w:val="24"/>
              </w:rPr>
            </w:pPr>
            <w:r>
              <w:rPr>
                <w:rFonts w:ascii="Times New Roman" w:hAnsiTheme="minorEastAsia"/>
                <w:sz w:val="24"/>
                <w:szCs w:val="24"/>
              </w:rPr>
              <w:t>案件名称</w:t>
            </w:r>
          </w:p>
        </w:tc>
        <w:tc>
          <w:tcPr>
            <w:tcW w:w="7646" w:type="dxa"/>
            <w:gridSpan w:val="2"/>
          </w:tcPr>
          <w:p>
            <w:pPr>
              <w:spacing w:line="500" w:lineRule="exact"/>
              <w:rPr>
                <w:rFonts w:ascii="Times New Roman" w:hAnsi="Times New Roman"/>
                <w:sz w:val="24"/>
                <w:szCs w:val="24"/>
              </w:rPr>
            </w:pPr>
            <w:r>
              <w:rPr>
                <w:rFonts w:hint="eastAsia" w:ascii="Times New Roman" w:hAnsiTheme="minorEastAsia"/>
                <w:sz w:val="24"/>
                <w:szCs w:val="24"/>
              </w:rPr>
              <w:t>河北电机股份有限公司收购科普费尔控股有限公司股权案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112" w:type="dxa"/>
            <w:shd w:val="clear" w:color="auto" w:fill="D9D9D9"/>
          </w:tcPr>
          <w:p>
            <w:pPr>
              <w:spacing w:line="500" w:lineRule="exact"/>
              <w:rPr>
                <w:rFonts w:ascii="Times New Roman" w:hAnsi="Times New Roman"/>
                <w:sz w:val="24"/>
                <w:szCs w:val="24"/>
              </w:rPr>
            </w:pPr>
            <w:r>
              <w:rPr>
                <w:rFonts w:ascii="Times New Roman" w:hAnsiTheme="minorEastAsia"/>
                <w:sz w:val="24"/>
                <w:szCs w:val="24"/>
              </w:rPr>
              <w:t>交易概况（限</w:t>
            </w:r>
            <w:r>
              <w:rPr>
                <w:rFonts w:ascii="Times New Roman" w:hAnsi="Times New Roman"/>
                <w:sz w:val="24"/>
                <w:szCs w:val="24"/>
              </w:rPr>
              <w:t>200</w:t>
            </w:r>
            <w:r>
              <w:rPr>
                <w:rFonts w:ascii="Times New Roman" w:hAnsiTheme="minorEastAsia"/>
                <w:sz w:val="24"/>
                <w:szCs w:val="24"/>
              </w:rPr>
              <w:t>字内）</w:t>
            </w:r>
          </w:p>
        </w:tc>
        <w:tc>
          <w:tcPr>
            <w:tcW w:w="7646" w:type="dxa"/>
            <w:gridSpan w:val="2"/>
          </w:tcPr>
          <w:p>
            <w:pPr>
              <w:spacing w:line="500" w:lineRule="exact"/>
              <w:rPr>
                <w:rFonts w:hint="eastAsia" w:ascii="Times New Roman" w:hAnsi="Times New Roman"/>
                <w:sz w:val="24"/>
                <w:szCs w:val="24"/>
              </w:rPr>
            </w:pPr>
            <w:r>
              <w:rPr>
                <w:rFonts w:hint="eastAsia" w:ascii="Times New Roman" w:hAnsiTheme="minorEastAsia"/>
                <w:sz w:val="24"/>
                <w:szCs w:val="24"/>
              </w:rPr>
              <w:t>交易前，科普费尔控股有限公司由金昇有限责任两合公司和</w:t>
            </w:r>
            <w:r>
              <w:rPr>
                <w:rFonts w:hint="eastAsia" w:ascii="Times New Roman" w:hAnsiTheme="minorEastAsia"/>
                <w:sz w:val="24"/>
                <w:szCs w:val="24"/>
                <w:lang w:val="en-US" w:eastAsia="zh-CN"/>
              </w:rPr>
              <w:t>自然人</w:t>
            </w:r>
            <w:r>
              <w:rPr>
                <w:rFonts w:ascii="Times New Roman" w:hAnsi="Times New Roman"/>
                <w:sz w:val="24"/>
                <w:szCs w:val="24"/>
              </w:rPr>
              <w:t>Norbert Heßbrüggen</w:t>
            </w:r>
            <w:r>
              <w:rPr>
                <w:rFonts w:hint="eastAsia" w:ascii="Times New Roman" w:hAnsi="Times New Roman"/>
                <w:sz w:val="24"/>
                <w:szCs w:val="24"/>
                <w:lang w:val="en-US" w:eastAsia="zh-CN"/>
              </w:rPr>
              <w:t>先生</w:t>
            </w:r>
            <w:r>
              <w:rPr>
                <w:rFonts w:ascii="Times New Roman" w:hAnsi="Times New Roman"/>
                <w:sz w:val="24"/>
                <w:szCs w:val="24"/>
              </w:rPr>
              <w:t>和Markus Heßbrüggen</w:t>
            </w:r>
            <w:r>
              <w:rPr>
                <w:rFonts w:hint="eastAsia" w:ascii="Times New Roman" w:hAnsi="Times New Roman"/>
                <w:sz w:val="24"/>
                <w:szCs w:val="24"/>
                <w:lang w:val="en-US" w:eastAsia="zh-CN"/>
              </w:rPr>
              <w:t>先生</w:t>
            </w:r>
            <w:r>
              <w:rPr>
                <w:rFonts w:hint="eastAsia" w:ascii="Times New Roman" w:hAnsi="Times New Roman"/>
                <w:sz w:val="24"/>
                <w:szCs w:val="24"/>
              </w:rPr>
              <w:t>共同控制。</w:t>
            </w:r>
          </w:p>
          <w:p>
            <w:pPr>
              <w:spacing w:line="500" w:lineRule="exact"/>
              <w:rPr>
                <w:rFonts w:hint="eastAsia" w:ascii="Times New Roman" w:hAnsiTheme="minorEastAsia"/>
                <w:sz w:val="24"/>
                <w:szCs w:val="24"/>
              </w:rPr>
            </w:pPr>
            <w:r>
              <w:rPr>
                <w:rFonts w:hint="eastAsia" w:ascii="Times New Roman" w:hAnsi="Times New Roman"/>
                <w:sz w:val="24"/>
                <w:szCs w:val="24"/>
              </w:rPr>
              <w:t>现</w:t>
            </w:r>
            <w:r>
              <w:rPr>
                <w:rFonts w:hint="eastAsia" w:ascii="Times New Roman" w:hAnsiTheme="minorEastAsia"/>
                <w:sz w:val="24"/>
                <w:szCs w:val="24"/>
              </w:rPr>
              <w:t>河北电机股份有限公司拟通过其设立于德国的全资子公司自发工业两合有限责任公司收购金昇有限责任两合公司在科普费尔控股有限公司中所持有的全部股权，即科普费尔控股有限公司50%的股权。</w:t>
            </w:r>
          </w:p>
          <w:p>
            <w:pPr>
              <w:spacing w:line="500" w:lineRule="exact"/>
              <w:rPr>
                <w:rFonts w:ascii="Times New Roman" w:hAnsi="Times New Roman"/>
                <w:b/>
                <w:sz w:val="24"/>
                <w:szCs w:val="24"/>
              </w:rPr>
            </w:pPr>
            <w:r>
              <w:rPr>
                <w:rFonts w:hint="eastAsia" w:ascii="Times New Roman" w:hAnsiTheme="minorEastAsia"/>
                <w:sz w:val="24"/>
                <w:szCs w:val="24"/>
              </w:rPr>
              <w:t>交易完成后，河北电机股份有限公司与</w:t>
            </w:r>
            <w:r>
              <w:rPr>
                <w:rFonts w:hint="eastAsia" w:ascii="Times New Roman" w:hAnsiTheme="minorEastAsia"/>
                <w:sz w:val="24"/>
                <w:szCs w:val="24"/>
                <w:lang w:val="en-US" w:eastAsia="zh-CN"/>
              </w:rPr>
              <w:t>自然人</w:t>
            </w:r>
            <w:r>
              <w:rPr>
                <w:rFonts w:ascii="Times New Roman" w:hAnsi="Times New Roman"/>
                <w:sz w:val="24"/>
                <w:szCs w:val="24"/>
              </w:rPr>
              <w:t>Norbert Heßbrüggen</w:t>
            </w:r>
            <w:r>
              <w:rPr>
                <w:rFonts w:hint="eastAsia" w:ascii="Times New Roman" w:hAnsi="Times New Roman"/>
                <w:sz w:val="24"/>
                <w:szCs w:val="24"/>
                <w:lang w:val="en-US" w:eastAsia="zh-CN"/>
              </w:rPr>
              <w:t>先生</w:t>
            </w:r>
            <w:r>
              <w:rPr>
                <w:rFonts w:ascii="Times New Roman" w:hAnsi="Times New Roman"/>
                <w:sz w:val="24"/>
                <w:szCs w:val="24"/>
              </w:rPr>
              <w:t>和Markus Heßbrüggen</w:t>
            </w:r>
            <w:r>
              <w:rPr>
                <w:rFonts w:hint="eastAsia" w:ascii="Times New Roman" w:hAnsi="Times New Roman"/>
                <w:sz w:val="24"/>
                <w:szCs w:val="24"/>
                <w:lang w:val="en-US" w:eastAsia="zh-CN"/>
              </w:rPr>
              <w:t>先生</w:t>
            </w:r>
            <w:r>
              <w:rPr>
                <w:rFonts w:hint="eastAsia" w:ascii="Times New Roman" w:hAnsi="Times New Roman"/>
                <w:sz w:val="24"/>
                <w:szCs w:val="24"/>
              </w:rPr>
              <w:t>共同控制</w:t>
            </w:r>
            <w:r>
              <w:rPr>
                <w:rFonts w:hint="eastAsia" w:ascii="Times New Roman" w:hAnsiTheme="minorEastAsia"/>
                <w:sz w:val="24"/>
                <w:szCs w:val="24"/>
              </w:rPr>
              <w:t>科普费尔控股有限公司。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112" w:type="dxa"/>
            <w:vMerge w:val="restart"/>
            <w:shd w:val="clear" w:color="auto" w:fill="D9D9D9"/>
          </w:tcPr>
          <w:p>
            <w:pPr>
              <w:spacing w:line="500" w:lineRule="exact"/>
              <w:rPr>
                <w:rFonts w:ascii="Times New Roman" w:hAnsi="Times New Roman"/>
                <w:sz w:val="24"/>
                <w:szCs w:val="24"/>
              </w:rPr>
            </w:pPr>
            <w:r>
              <w:rPr>
                <w:rFonts w:ascii="Times New Roman" w:hAnsiTheme="minorEastAsia"/>
                <w:sz w:val="24"/>
                <w:szCs w:val="24"/>
              </w:rPr>
              <w:t>参与集中的经营者简介</w:t>
            </w:r>
          </w:p>
        </w:tc>
        <w:tc>
          <w:tcPr>
            <w:tcW w:w="2559" w:type="dxa"/>
          </w:tcPr>
          <w:p>
            <w:pPr>
              <w:spacing w:line="500" w:lineRule="exact"/>
              <w:rPr>
                <w:rFonts w:ascii="Times New Roman" w:hAnsi="Times New Roman"/>
                <w:sz w:val="24"/>
                <w:szCs w:val="24"/>
              </w:rPr>
            </w:pPr>
            <w:r>
              <w:rPr>
                <w:rFonts w:ascii="Times New Roman" w:hAnsi="Times New Roman"/>
                <w:sz w:val="24"/>
                <w:szCs w:val="24"/>
              </w:rPr>
              <w:t>1</w:t>
            </w:r>
            <w:r>
              <w:rPr>
                <w:rFonts w:ascii="Times New Roman" w:hAnsiTheme="minorEastAsia"/>
                <w:sz w:val="24"/>
                <w:szCs w:val="24"/>
              </w:rPr>
              <w:t>、</w:t>
            </w:r>
            <w:r>
              <w:rPr>
                <w:rFonts w:hint="eastAsia" w:ascii="Times New Roman" w:hAnsiTheme="minorEastAsia"/>
                <w:sz w:val="24"/>
                <w:szCs w:val="24"/>
              </w:rPr>
              <w:t>河北电机股份有限公司</w:t>
            </w:r>
          </w:p>
        </w:tc>
        <w:tc>
          <w:tcPr>
            <w:tcW w:w="5087" w:type="dxa"/>
          </w:tcPr>
          <w:p>
            <w:pPr>
              <w:spacing w:line="500" w:lineRule="exact"/>
              <w:rPr>
                <w:rFonts w:ascii="Times New Roman" w:hAnsi="Times New Roman"/>
                <w:sz w:val="24"/>
                <w:szCs w:val="24"/>
              </w:rPr>
            </w:pPr>
            <w:r>
              <w:rPr>
                <w:rFonts w:hint="eastAsia" w:ascii="Times New Roman" w:hAnsiTheme="minorEastAsia"/>
                <w:sz w:val="24"/>
                <w:szCs w:val="24"/>
              </w:rPr>
              <w:t>河北电机股份有限公司是以全球供应链高端市场为经营目标，以生产超高效节能电机和专用特种电机产品出口和替代进口为主的电机专业制造企业。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1" w:hRule="atLeast"/>
        </w:trPr>
        <w:tc>
          <w:tcPr>
            <w:tcW w:w="1112" w:type="dxa"/>
            <w:vMerge w:val="continue"/>
            <w:shd w:val="clear" w:color="auto" w:fill="D9D9D9"/>
          </w:tcPr>
          <w:p>
            <w:pPr>
              <w:spacing w:line="500" w:lineRule="exact"/>
              <w:rPr>
                <w:rFonts w:ascii="Times New Roman" w:hAnsi="Times New Roman"/>
                <w:sz w:val="24"/>
                <w:szCs w:val="24"/>
              </w:rPr>
            </w:pPr>
          </w:p>
        </w:tc>
        <w:tc>
          <w:tcPr>
            <w:tcW w:w="2559" w:type="dxa"/>
          </w:tcPr>
          <w:p>
            <w:pPr>
              <w:spacing w:line="500" w:lineRule="exact"/>
              <w:rPr>
                <w:rFonts w:ascii="Times New Roman" w:hAnsi="Times New Roman"/>
                <w:sz w:val="24"/>
                <w:szCs w:val="24"/>
              </w:rPr>
            </w:pPr>
            <w:r>
              <w:rPr>
                <w:rFonts w:ascii="Times New Roman" w:hAnsi="Times New Roman"/>
                <w:sz w:val="24"/>
                <w:szCs w:val="24"/>
              </w:rPr>
              <w:t>2</w:t>
            </w:r>
            <w:r>
              <w:rPr>
                <w:rFonts w:ascii="Times New Roman" w:hAnsiTheme="minorEastAsia"/>
                <w:sz w:val="24"/>
                <w:szCs w:val="24"/>
              </w:rPr>
              <w:t>、</w:t>
            </w:r>
            <w:r>
              <w:rPr>
                <w:rFonts w:hint="eastAsia" w:ascii="Times New Roman" w:hAnsiTheme="minorEastAsia"/>
                <w:sz w:val="24"/>
                <w:szCs w:val="24"/>
              </w:rPr>
              <w:t>科普费尔控股有限公司</w:t>
            </w:r>
          </w:p>
        </w:tc>
        <w:tc>
          <w:tcPr>
            <w:tcW w:w="5087" w:type="dxa"/>
          </w:tcPr>
          <w:p>
            <w:pPr>
              <w:spacing w:line="500" w:lineRule="exact"/>
              <w:rPr>
                <w:rFonts w:ascii="Times New Roman" w:hAnsiTheme="minorEastAsia"/>
                <w:sz w:val="24"/>
                <w:szCs w:val="24"/>
              </w:rPr>
            </w:pPr>
            <w:r>
              <w:rPr>
                <w:rFonts w:hint="eastAsia" w:ascii="Times New Roman" w:hAnsiTheme="minorEastAsia"/>
                <w:sz w:val="24"/>
                <w:szCs w:val="24"/>
              </w:rPr>
              <w:t>科普费尔控股有限公司（</w:t>
            </w:r>
            <w:r>
              <w:rPr>
                <w:rFonts w:ascii="Times New Roman" w:hAnsiTheme="minorEastAsia"/>
                <w:sz w:val="24"/>
                <w:szCs w:val="24"/>
              </w:rPr>
              <w:t>Koepfer Holding GmbH</w:t>
            </w:r>
            <w:r>
              <w:rPr>
                <w:rFonts w:hint="eastAsia" w:ascii="Times New Roman" w:hAnsiTheme="minorEastAsia"/>
                <w:sz w:val="24"/>
                <w:szCs w:val="24"/>
              </w:rPr>
              <w:t>）成立于2013年，总部设于德国Furtwangen市，拥有多年</w:t>
            </w:r>
            <w:r>
              <w:rPr>
                <w:rFonts w:ascii="Times New Roman" w:hAnsiTheme="minorEastAsia"/>
                <w:sz w:val="24"/>
                <w:szCs w:val="24"/>
              </w:rPr>
              <w:t>的齿轮生产和开发历史及经验，善于综合运用多种齿轮制造技术，</w:t>
            </w:r>
            <w:r>
              <w:rPr>
                <w:rFonts w:hint="eastAsia" w:ascii="Times New Roman" w:hAnsiTheme="minorEastAsia"/>
                <w:sz w:val="24"/>
                <w:szCs w:val="24"/>
              </w:rPr>
              <w:t>其</w:t>
            </w:r>
            <w:r>
              <w:rPr>
                <w:rFonts w:ascii="Times New Roman" w:hAnsiTheme="minorEastAsia"/>
                <w:sz w:val="24"/>
                <w:szCs w:val="24"/>
              </w:rPr>
              <w:t>齿轮生产技术始终保持在世界</w:t>
            </w:r>
            <w:r>
              <w:rPr>
                <w:rFonts w:hint="eastAsia" w:ascii="Times New Roman" w:hAnsiTheme="minorEastAsia"/>
                <w:sz w:val="24"/>
                <w:szCs w:val="24"/>
              </w:rPr>
              <w:t>领先</w:t>
            </w:r>
            <w:r>
              <w:rPr>
                <w:rFonts w:ascii="Times New Roman" w:hAnsiTheme="minorEastAsia"/>
                <w:sz w:val="24"/>
                <w:szCs w:val="24"/>
              </w:rPr>
              <w:t>水平</w:t>
            </w:r>
            <w:r>
              <w:rPr>
                <w:rFonts w:hint="eastAsia" w:ascii="Times New Roman" w:hAnsiTheme="minorEastAsia"/>
                <w:sz w:val="24"/>
                <w:szCs w:val="24"/>
              </w:rPr>
              <w:t>，其</w:t>
            </w:r>
            <w:r>
              <w:rPr>
                <w:rFonts w:ascii="Times New Roman" w:hAnsiTheme="minorEastAsia"/>
                <w:sz w:val="24"/>
                <w:szCs w:val="24"/>
              </w:rPr>
              <w:t>产品范围覆盖了高质量齿轮、链轮和齿轮箱，能满足客户的各种规格要求</w:t>
            </w:r>
            <w:r>
              <w:rPr>
                <w:rFonts w:hint="eastAsia" w:ascii="Times New Roman" w:hAnsiTheme="minorEastAsia"/>
                <w:sz w:val="24"/>
                <w:szCs w:val="24"/>
              </w:rPr>
              <w:t>。</w:t>
            </w:r>
            <w:r>
              <w:rPr>
                <w:rFonts w:ascii="Times New Roman" w:hAnsiTheme="minorEastAsia"/>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1" w:hRule="atLeast"/>
        </w:trPr>
        <w:tc>
          <w:tcPr>
            <w:tcW w:w="1112" w:type="dxa"/>
            <w:vMerge w:val="continue"/>
            <w:shd w:val="clear" w:color="auto" w:fill="D9D9D9"/>
          </w:tcPr>
          <w:p>
            <w:pPr>
              <w:spacing w:line="500" w:lineRule="exact"/>
              <w:rPr>
                <w:rFonts w:ascii="Times New Roman" w:hAnsi="Times New Roman"/>
                <w:sz w:val="24"/>
                <w:szCs w:val="24"/>
              </w:rPr>
            </w:pPr>
          </w:p>
        </w:tc>
        <w:tc>
          <w:tcPr>
            <w:tcW w:w="2559" w:type="dxa"/>
          </w:tcPr>
          <w:p>
            <w:pPr>
              <w:spacing w:line="500" w:lineRule="exact"/>
              <w:jc w:val="left"/>
              <w:rPr>
                <w:rFonts w:hint="eastAsia" w:ascii="Times New Roman" w:hAnsi="Times New Roman" w:eastAsiaTheme="minorEastAsia"/>
                <w:sz w:val="24"/>
                <w:szCs w:val="24"/>
                <w:lang w:val="en-US" w:eastAsia="zh-CN"/>
              </w:rPr>
            </w:pPr>
            <w:r>
              <w:rPr>
                <w:rFonts w:hint="eastAsia" w:ascii="Times New Roman" w:hAnsi="Times New Roman"/>
                <w:sz w:val="24"/>
                <w:szCs w:val="24"/>
              </w:rPr>
              <w:t>3、</w:t>
            </w:r>
            <w:r>
              <w:rPr>
                <w:rFonts w:hint="eastAsia" w:ascii="Times New Roman" w:hAnsi="Times New Roman"/>
                <w:sz w:val="24"/>
                <w:szCs w:val="24"/>
                <w:lang w:val="en-US" w:eastAsia="zh-CN"/>
              </w:rPr>
              <w:t>自然人</w:t>
            </w:r>
            <w:r>
              <w:rPr>
                <w:rFonts w:ascii="Times New Roman" w:hAnsi="Times New Roman"/>
                <w:sz w:val="24"/>
                <w:szCs w:val="24"/>
              </w:rPr>
              <w:t xml:space="preserve">Norbert Heßbrüggen </w:t>
            </w:r>
            <w:r>
              <w:rPr>
                <w:rFonts w:hint="eastAsia" w:ascii="Times New Roman" w:hAnsi="Times New Roman"/>
                <w:sz w:val="24"/>
                <w:szCs w:val="24"/>
                <w:lang w:val="en-US" w:eastAsia="zh-CN"/>
              </w:rPr>
              <w:t>先生</w:t>
            </w:r>
            <w:r>
              <w:rPr>
                <w:rFonts w:ascii="Times New Roman" w:hAnsi="Times New Roman"/>
                <w:sz w:val="24"/>
                <w:szCs w:val="24"/>
              </w:rPr>
              <w:t>和Markus Heßbrüggen</w:t>
            </w:r>
            <w:r>
              <w:rPr>
                <w:rFonts w:hint="eastAsia" w:ascii="Times New Roman" w:hAnsi="Times New Roman"/>
                <w:sz w:val="24"/>
                <w:szCs w:val="24"/>
                <w:lang w:val="en-US" w:eastAsia="zh-CN"/>
              </w:rPr>
              <w:t>先生</w:t>
            </w:r>
          </w:p>
        </w:tc>
        <w:tc>
          <w:tcPr>
            <w:tcW w:w="5087" w:type="dxa"/>
          </w:tcPr>
          <w:p>
            <w:pPr>
              <w:spacing w:line="500" w:lineRule="exact"/>
              <w:rPr>
                <w:rFonts w:ascii="Times New Roman" w:hAnsiTheme="minorEastAsia"/>
                <w:sz w:val="24"/>
                <w:szCs w:val="24"/>
              </w:rPr>
            </w:pPr>
            <w:r>
              <w:rPr>
                <w:rFonts w:hint="eastAsia" w:ascii="Times New Roman" w:hAnsi="Times New Roman"/>
                <w:sz w:val="24"/>
                <w:szCs w:val="24"/>
                <w:lang w:val="en-US" w:eastAsia="zh-CN"/>
              </w:rPr>
              <w:t>自然人</w:t>
            </w:r>
            <w:r>
              <w:rPr>
                <w:rFonts w:ascii="Times New Roman" w:hAnsi="Times New Roman"/>
                <w:sz w:val="24"/>
                <w:szCs w:val="24"/>
              </w:rPr>
              <w:t>Norbert Heßbrüggen</w:t>
            </w:r>
            <w:r>
              <w:rPr>
                <w:rFonts w:hint="eastAsia" w:ascii="Times New Roman" w:hAnsi="Times New Roman"/>
                <w:sz w:val="24"/>
                <w:szCs w:val="24"/>
                <w:lang w:val="en-US" w:eastAsia="zh-CN"/>
              </w:rPr>
              <w:t>先生</w:t>
            </w:r>
            <w:r>
              <w:rPr>
                <w:rFonts w:ascii="Times New Roman" w:hAnsi="Times New Roman"/>
                <w:sz w:val="24"/>
                <w:szCs w:val="24"/>
              </w:rPr>
              <w:t xml:space="preserve"> 和Markus Heßbrüggen</w:t>
            </w:r>
            <w:r>
              <w:rPr>
                <w:rFonts w:hint="eastAsia" w:ascii="Times New Roman" w:hAnsi="Times New Roman"/>
                <w:sz w:val="24"/>
                <w:szCs w:val="24"/>
                <w:lang w:val="en-US" w:eastAsia="zh-CN"/>
              </w:rPr>
              <w:t>先生</w:t>
            </w:r>
            <w:r>
              <w:rPr>
                <w:rFonts w:hint="eastAsia" w:ascii="Times New Roman" w:hAnsiTheme="minorEastAsia"/>
                <w:sz w:val="24"/>
                <w:szCs w:val="24"/>
              </w:rPr>
              <w:t xml:space="preserve"> 所控制的埃马克集团（EMAG Group），成立于1867年，总部设在德国萨拉赫市。埃马克集团业务主要分布在汽车制造及配套工业、机械制造工业和航空航天工业、可再生能源、电力和石油等行业，提供加工盘类件、轴类件和箱体类零件的机床和生产系统，倒立式车床以及倒立式多功能生产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112" w:type="dxa"/>
            <w:vMerge w:val="restart"/>
            <w:shd w:val="clear" w:color="auto" w:fill="D9D9D9"/>
          </w:tcPr>
          <w:p>
            <w:pPr>
              <w:spacing w:line="500" w:lineRule="exact"/>
              <w:rPr>
                <w:rFonts w:ascii="Times New Roman" w:hAnsi="Times New Roman"/>
                <w:sz w:val="24"/>
                <w:szCs w:val="24"/>
              </w:rPr>
            </w:pPr>
            <w:r>
              <w:rPr>
                <w:rFonts w:ascii="Times New Roman" w:hAnsiTheme="minorEastAsia"/>
                <w:sz w:val="24"/>
                <w:szCs w:val="24"/>
              </w:rPr>
              <w:t>简易案件理由（可以单选，也可以多选）</w:t>
            </w:r>
          </w:p>
        </w:tc>
        <w:tc>
          <w:tcPr>
            <w:tcW w:w="7646" w:type="dxa"/>
            <w:gridSpan w:val="2"/>
          </w:tcPr>
          <w:p>
            <w:pPr>
              <w:spacing w:line="500" w:lineRule="exact"/>
              <w:rPr>
                <w:rFonts w:ascii="Times New Roman" w:hAnsi="Times New Roman"/>
                <w:sz w:val="24"/>
                <w:szCs w:val="24"/>
              </w:rPr>
            </w:pPr>
            <w:r>
              <w:rPr>
                <w:rFonts w:ascii="Times New Roman" w:hAnsi="Times New Roman"/>
                <w:sz w:val="24"/>
                <w:szCs w:val="24"/>
              </w:rPr>
              <w:t>□1</w:t>
            </w:r>
            <w:r>
              <w:rPr>
                <w:rFonts w:ascii="Times New Roman" w:hAnsiTheme="minorEastAsia"/>
                <w:sz w:val="24"/>
                <w:szCs w:val="24"/>
              </w:rPr>
              <w:t>、在同一相关市场，所有参与集中的经营者所占市场份额之和小于</w:t>
            </w:r>
            <w:r>
              <w:rPr>
                <w:rFonts w:ascii="Times New Roman" w:hAnsi="Times New Roman"/>
                <w:sz w:val="24"/>
                <w:szCs w:val="24"/>
              </w:rPr>
              <w:t>15%</w:t>
            </w:r>
            <w:r>
              <w:rPr>
                <w:rFonts w:ascii="Times New Roman" w:hAnsiTheme="minor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112" w:type="dxa"/>
            <w:vMerge w:val="continue"/>
            <w:shd w:val="clear" w:color="auto" w:fill="D9D9D9"/>
          </w:tcPr>
          <w:p>
            <w:pPr>
              <w:spacing w:line="500" w:lineRule="exact"/>
              <w:rPr>
                <w:rFonts w:ascii="Times New Roman" w:hAnsi="Times New Roman"/>
                <w:sz w:val="24"/>
                <w:szCs w:val="24"/>
              </w:rPr>
            </w:pPr>
          </w:p>
        </w:tc>
        <w:tc>
          <w:tcPr>
            <w:tcW w:w="7646" w:type="dxa"/>
            <w:gridSpan w:val="2"/>
          </w:tcPr>
          <w:p>
            <w:pPr>
              <w:spacing w:line="500" w:lineRule="exact"/>
              <w:rPr>
                <w:rFonts w:ascii="Times New Roman" w:hAnsi="Times New Roman"/>
                <w:sz w:val="24"/>
                <w:szCs w:val="24"/>
              </w:rPr>
            </w:pPr>
            <w:r>
              <w:rPr>
                <w:rFonts w:ascii="Times New Roman" w:hAnsi="Times New Roman"/>
                <w:sz w:val="24"/>
                <w:szCs w:val="24"/>
              </w:rPr>
              <w:sym w:font="Wingdings" w:char="F0FE"/>
            </w:r>
            <w:r>
              <w:rPr>
                <w:rFonts w:ascii="Times New Roman" w:hAnsi="Times New Roman"/>
                <w:sz w:val="24"/>
                <w:szCs w:val="24"/>
              </w:rPr>
              <w:t>2</w:t>
            </w:r>
            <w:r>
              <w:rPr>
                <w:rFonts w:ascii="Times New Roman" w:hAnsiTheme="minorEastAsia"/>
                <w:sz w:val="24"/>
                <w:szCs w:val="24"/>
              </w:rPr>
              <w:t>、存在上下游关系的参与集中的经营者，在上下游市场所占的市场份额均小于</w:t>
            </w:r>
            <w:r>
              <w:rPr>
                <w:rFonts w:ascii="Times New Roman" w:hAnsi="Times New Roman"/>
                <w:sz w:val="24"/>
                <w:szCs w:val="24"/>
              </w:rPr>
              <w:t>25%</w:t>
            </w:r>
            <w:r>
              <w:rPr>
                <w:rFonts w:ascii="Times New Roman" w:hAnsiTheme="minor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112" w:type="dxa"/>
            <w:vMerge w:val="continue"/>
            <w:shd w:val="clear" w:color="auto" w:fill="D9D9D9"/>
          </w:tcPr>
          <w:p>
            <w:pPr>
              <w:spacing w:line="500" w:lineRule="exact"/>
              <w:rPr>
                <w:rFonts w:ascii="Times New Roman" w:hAnsi="Times New Roman"/>
                <w:sz w:val="24"/>
                <w:szCs w:val="24"/>
              </w:rPr>
            </w:pPr>
          </w:p>
        </w:tc>
        <w:tc>
          <w:tcPr>
            <w:tcW w:w="7646" w:type="dxa"/>
            <w:gridSpan w:val="2"/>
          </w:tcPr>
          <w:p>
            <w:pPr>
              <w:spacing w:line="500" w:lineRule="exact"/>
              <w:rPr>
                <w:rFonts w:ascii="Times New Roman" w:hAnsi="Times New Roman"/>
                <w:sz w:val="24"/>
                <w:szCs w:val="24"/>
              </w:rPr>
            </w:pPr>
            <w:r>
              <w:rPr>
                <w:rFonts w:ascii="Times New Roman" w:hAnsi="Times New Roman"/>
                <w:sz w:val="24"/>
                <w:szCs w:val="24"/>
              </w:rPr>
              <w:t>□3</w:t>
            </w:r>
            <w:r>
              <w:rPr>
                <w:rFonts w:ascii="Times New Roman" w:hAnsiTheme="minorEastAsia"/>
                <w:sz w:val="24"/>
                <w:szCs w:val="24"/>
              </w:rPr>
              <w:t>、不在同一相关市场、也不存在上下游关系的参与集中的经营者，在与交易有关的每个市场所占的份额均小于</w:t>
            </w:r>
            <w:r>
              <w:rPr>
                <w:rFonts w:ascii="Times New Roman" w:hAnsi="Times New Roman"/>
                <w:sz w:val="24"/>
                <w:szCs w:val="24"/>
              </w:rPr>
              <w:t>25%</w:t>
            </w:r>
            <w:r>
              <w:rPr>
                <w:rFonts w:ascii="Times New Roman" w:hAnsiTheme="minor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112" w:type="dxa"/>
            <w:vMerge w:val="continue"/>
            <w:shd w:val="clear" w:color="auto" w:fill="D9D9D9"/>
          </w:tcPr>
          <w:p>
            <w:pPr>
              <w:spacing w:line="500" w:lineRule="exact"/>
              <w:rPr>
                <w:rFonts w:ascii="Times New Roman" w:hAnsi="Times New Roman"/>
                <w:sz w:val="24"/>
                <w:szCs w:val="24"/>
              </w:rPr>
            </w:pPr>
          </w:p>
        </w:tc>
        <w:tc>
          <w:tcPr>
            <w:tcW w:w="7646" w:type="dxa"/>
            <w:gridSpan w:val="2"/>
          </w:tcPr>
          <w:p>
            <w:pPr>
              <w:spacing w:line="500" w:lineRule="exact"/>
              <w:rPr>
                <w:rFonts w:ascii="Times New Roman" w:hAnsi="Times New Roman"/>
                <w:sz w:val="24"/>
                <w:szCs w:val="24"/>
              </w:rPr>
            </w:pPr>
            <w:r>
              <w:rPr>
                <w:rFonts w:ascii="Times New Roman" w:hAnsi="Times New Roman"/>
                <w:sz w:val="24"/>
                <w:szCs w:val="24"/>
              </w:rPr>
              <w:t>□4</w:t>
            </w:r>
            <w:r>
              <w:rPr>
                <w:rFonts w:ascii="Times New Roman" w:hAnsiTheme="minorEastAsia"/>
                <w:sz w:val="24"/>
                <w:szCs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112" w:type="dxa"/>
            <w:vMerge w:val="continue"/>
            <w:shd w:val="clear" w:color="auto" w:fill="D9D9D9"/>
          </w:tcPr>
          <w:p>
            <w:pPr>
              <w:spacing w:line="500" w:lineRule="exact"/>
              <w:rPr>
                <w:rFonts w:ascii="Times New Roman" w:hAnsi="Times New Roman"/>
                <w:sz w:val="24"/>
                <w:szCs w:val="24"/>
              </w:rPr>
            </w:pPr>
          </w:p>
        </w:tc>
        <w:tc>
          <w:tcPr>
            <w:tcW w:w="7646" w:type="dxa"/>
            <w:gridSpan w:val="2"/>
          </w:tcPr>
          <w:p>
            <w:pPr>
              <w:spacing w:line="500" w:lineRule="exact"/>
              <w:rPr>
                <w:rFonts w:ascii="Times New Roman" w:hAnsi="Times New Roman"/>
                <w:sz w:val="24"/>
                <w:szCs w:val="24"/>
              </w:rPr>
            </w:pPr>
            <w:r>
              <w:rPr>
                <w:rFonts w:ascii="Times New Roman" w:hAnsi="Times New Roman"/>
                <w:sz w:val="24"/>
                <w:szCs w:val="24"/>
              </w:rPr>
              <w:t>□5</w:t>
            </w:r>
            <w:r>
              <w:rPr>
                <w:rFonts w:ascii="Times New Roman" w:hAnsiTheme="minorEastAsia"/>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112" w:type="dxa"/>
            <w:vMerge w:val="continue"/>
            <w:shd w:val="clear" w:color="auto" w:fill="D9D9D9"/>
          </w:tcPr>
          <w:p>
            <w:pPr>
              <w:spacing w:line="500" w:lineRule="exact"/>
              <w:rPr>
                <w:rFonts w:ascii="Times New Roman" w:hAnsi="Times New Roman"/>
                <w:sz w:val="24"/>
                <w:szCs w:val="24"/>
              </w:rPr>
            </w:pPr>
          </w:p>
        </w:tc>
        <w:tc>
          <w:tcPr>
            <w:tcW w:w="7646" w:type="dxa"/>
            <w:gridSpan w:val="2"/>
          </w:tcPr>
          <w:p>
            <w:pPr>
              <w:spacing w:line="500" w:lineRule="exact"/>
              <w:rPr>
                <w:rFonts w:ascii="Times New Roman" w:hAnsi="Times New Roman"/>
                <w:sz w:val="24"/>
                <w:szCs w:val="24"/>
              </w:rPr>
            </w:pPr>
            <w:r>
              <w:rPr>
                <w:rFonts w:ascii="Times New Roman" w:hAnsi="Times New Roman"/>
                <w:sz w:val="24"/>
                <w:szCs w:val="24"/>
              </w:rPr>
              <w:t>□6</w:t>
            </w:r>
            <w:r>
              <w:rPr>
                <w:rFonts w:ascii="Times New Roman" w:hAnsiTheme="minorEastAsia"/>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2" w:type="dxa"/>
            <w:shd w:val="clear" w:color="auto" w:fill="D9D9D9"/>
          </w:tcPr>
          <w:p>
            <w:pPr>
              <w:spacing w:line="500" w:lineRule="exact"/>
              <w:rPr>
                <w:rFonts w:ascii="Times New Roman" w:hAnsi="Times New Roman"/>
                <w:sz w:val="24"/>
                <w:szCs w:val="24"/>
              </w:rPr>
            </w:pPr>
            <w:r>
              <w:rPr>
                <w:rFonts w:ascii="Times New Roman" w:hAnsiTheme="minorEastAsia"/>
                <w:sz w:val="24"/>
                <w:szCs w:val="24"/>
              </w:rPr>
              <w:t>备注</w:t>
            </w:r>
          </w:p>
        </w:tc>
        <w:tc>
          <w:tcPr>
            <w:tcW w:w="7646" w:type="dxa"/>
            <w:gridSpan w:val="2"/>
          </w:tcPr>
          <w:p>
            <w:pPr>
              <w:spacing w:line="500" w:lineRule="exact"/>
              <w:rPr>
                <w:rFonts w:ascii="Times New Roman" w:hAnsiTheme="minorEastAsia"/>
                <w:sz w:val="24"/>
                <w:szCs w:val="24"/>
              </w:rPr>
            </w:pPr>
            <w:r>
              <w:rPr>
                <w:rFonts w:hint="eastAsia" w:ascii="Times New Roman" w:hAnsi="Times New Roman"/>
                <w:sz w:val="24"/>
                <w:szCs w:val="24"/>
                <w:lang w:val="en-US" w:eastAsia="zh-CN"/>
              </w:rPr>
              <w:t>上游市场：</w:t>
            </w:r>
            <w:r>
              <w:rPr>
                <w:rFonts w:hint="eastAsia" w:ascii="Times New Roman" w:hAnsi="Times New Roman"/>
                <w:sz w:val="24"/>
                <w:szCs w:val="24"/>
              </w:rPr>
              <w:t>滚齿机市场</w:t>
            </w:r>
            <w:r>
              <w:rPr>
                <w:rFonts w:hint="eastAsia" w:ascii="Times New Roman" w:hAnsi="Times New Roman"/>
                <w:sz w:val="24"/>
                <w:szCs w:val="24"/>
                <w:lang w:eastAsia="zh-CN"/>
              </w:rPr>
              <w:t>，</w:t>
            </w:r>
            <w:r>
              <w:rPr>
                <w:rFonts w:hint="eastAsia" w:ascii="Times New Roman" w:hAnsi="Times New Roman"/>
                <w:sz w:val="24"/>
                <w:szCs w:val="24"/>
              </w:rPr>
              <w:t>相关地域市场为全球。</w:t>
            </w:r>
          </w:p>
          <w:p>
            <w:pPr>
              <w:spacing w:line="500" w:lineRule="exact"/>
              <w:rPr>
                <w:rFonts w:hint="eastAsia" w:ascii="Times New Roman" w:hAnsi="Times New Roman"/>
                <w:sz w:val="24"/>
                <w:szCs w:val="24"/>
                <w:lang w:eastAsia="zh-CN"/>
              </w:rPr>
            </w:pPr>
            <w:r>
              <w:rPr>
                <w:rFonts w:hint="eastAsia" w:ascii="Times New Roman" w:hAnsi="Times New Roman"/>
                <w:sz w:val="24"/>
                <w:szCs w:val="24"/>
                <w:lang w:val="en-US" w:eastAsia="zh-CN"/>
              </w:rPr>
              <w:t>自然人</w:t>
            </w:r>
            <w:r>
              <w:rPr>
                <w:rFonts w:ascii="Times New Roman" w:hAnsi="Times New Roman"/>
                <w:sz w:val="24"/>
                <w:szCs w:val="24"/>
              </w:rPr>
              <w:t>Norbert Heßbrüggen</w:t>
            </w:r>
            <w:r>
              <w:rPr>
                <w:rFonts w:hint="eastAsia" w:ascii="Times New Roman" w:hAnsi="Times New Roman"/>
                <w:sz w:val="24"/>
                <w:szCs w:val="24"/>
                <w:lang w:val="en-US" w:eastAsia="zh-CN"/>
              </w:rPr>
              <w:t>先生</w:t>
            </w:r>
            <w:r>
              <w:rPr>
                <w:rFonts w:ascii="Times New Roman" w:hAnsi="Times New Roman"/>
                <w:sz w:val="24"/>
                <w:szCs w:val="24"/>
              </w:rPr>
              <w:t xml:space="preserve"> 和Markus Heßbrüggen</w:t>
            </w:r>
            <w:r>
              <w:rPr>
                <w:rFonts w:hint="eastAsia" w:ascii="Times New Roman" w:hAnsi="Times New Roman"/>
                <w:sz w:val="24"/>
                <w:szCs w:val="24"/>
                <w:lang w:val="en-US" w:eastAsia="zh-CN"/>
              </w:rPr>
              <w:t>先生所控制的</w:t>
            </w:r>
            <w:r>
              <w:rPr>
                <w:rFonts w:hint="eastAsia" w:ascii="Times New Roman" w:hAnsi="Times New Roman"/>
                <w:sz w:val="24"/>
                <w:szCs w:val="24"/>
              </w:rPr>
              <w:t>埃马克集团在滚齿机市场的市场份额为</w:t>
            </w:r>
            <w:r>
              <w:rPr>
                <w:rFonts w:ascii="Times New Roman" w:hAnsi="Times New Roman"/>
                <w:sz w:val="24"/>
                <w:szCs w:val="24"/>
              </w:rPr>
              <w:t>[</w:t>
            </w:r>
            <w:r>
              <w:rPr>
                <w:rFonts w:hint="eastAsia" w:ascii="Times New Roman" w:hAnsi="Times New Roman"/>
                <w:sz w:val="24"/>
                <w:szCs w:val="24"/>
              </w:rPr>
              <w:t>0-5</w:t>
            </w:r>
            <w:r>
              <w:rPr>
                <w:rFonts w:ascii="Times New Roman" w:hAnsi="Times New Roman"/>
                <w:sz w:val="24"/>
                <w:szCs w:val="24"/>
              </w:rPr>
              <w:t>]%</w:t>
            </w:r>
            <w:r>
              <w:rPr>
                <w:rFonts w:hint="eastAsia" w:ascii="Times New Roman" w:hAnsi="Times New Roman"/>
                <w:sz w:val="24"/>
                <w:szCs w:val="24"/>
                <w:lang w:eastAsia="zh-CN"/>
              </w:rPr>
              <w:t>。</w:t>
            </w:r>
          </w:p>
          <w:p>
            <w:pPr>
              <w:spacing w:line="500" w:lineRule="exact"/>
              <w:rPr>
                <w:rFonts w:hint="eastAsia" w:ascii="Times New Roman" w:hAnsi="Times New Roman"/>
                <w:sz w:val="24"/>
                <w:szCs w:val="24"/>
                <w:lang w:eastAsia="zh-CN"/>
              </w:rPr>
            </w:pPr>
          </w:p>
          <w:p>
            <w:pPr>
              <w:spacing w:line="500" w:lineRule="exact"/>
              <w:rPr>
                <w:rFonts w:hint="eastAsia" w:ascii="Times New Roman" w:hAnsiTheme="minorEastAsia"/>
                <w:sz w:val="24"/>
                <w:szCs w:val="24"/>
              </w:rPr>
            </w:pPr>
            <w:r>
              <w:rPr>
                <w:rFonts w:hint="eastAsia" w:ascii="Times New Roman" w:hAnsiTheme="minorEastAsia"/>
                <w:sz w:val="24"/>
                <w:szCs w:val="24"/>
                <w:lang w:val="en-US" w:eastAsia="zh-CN"/>
              </w:rPr>
              <w:t>下游市场：乘用车齿轮市场，</w:t>
            </w:r>
            <w:r>
              <w:rPr>
                <w:rFonts w:ascii="Times New Roman" w:hAnsiTheme="minorEastAsia"/>
                <w:sz w:val="24"/>
                <w:szCs w:val="24"/>
              </w:rPr>
              <w:t>相关地域市场为</w:t>
            </w:r>
            <w:r>
              <w:rPr>
                <w:rFonts w:hint="eastAsia" w:ascii="Times New Roman" w:hAnsiTheme="minorEastAsia"/>
                <w:sz w:val="24"/>
                <w:szCs w:val="24"/>
              </w:rPr>
              <w:t>全球。</w:t>
            </w:r>
          </w:p>
          <w:p>
            <w:pPr>
              <w:widowControl/>
              <w:jc w:val="both"/>
              <w:rPr>
                <w:rFonts w:ascii="Times New Roman" w:hAnsiTheme="minorEastAsia"/>
                <w:sz w:val="24"/>
                <w:szCs w:val="24"/>
              </w:rPr>
            </w:pPr>
            <w:r>
              <w:rPr>
                <w:rFonts w:hint="eastAsia" w:ascii="Times New Roman" w:hAnsiTheme="minorEastAsia"/>
                <w:sz w:val="24"/>
                <w:szCs w:val="24"/>
              </w:rPr>
              <w:t>科普费尔控股有限公司</w:t>
            </w:r>
            <w:r>
              <w:rPr>
                <w:rFonts w:hint="eastAsia" w:ascii="Times New Roman" w:hAnsiTheme="minorEastAsia"/>
                <w:sz w:val="24"/>
                <w:szCs w:val="24"/>
                <w:lang w:val="en-US" w:eastAsia="zh-CN"/>
              </w:rPr>
              <w:t>在乘用车齿轮市场的市场份额为[0-5]%。</w:t>
            </w:r>
            <w:bookmarkStart w:id="0" w:name="_GoBack"/>
            <w:bookmarkEnd w:id="0"/>
          </w:p>
        </w:tc>
      </w:tr>
    </w:tbl>
    <w:p>
      <w:pPr>
        <w:snapToGrid w:val="0"/>
        <w:spacing w:line="240" w:lineRule="exact"/>
        <w:jc w:val="left"/>
        <w:rPr>
          <w:rFonts w:asciiTheme="minorEastAsia" w:hAnsiTheme="minorEastAsia"/>
          <w:sz w:val="24"/>
          <w:szCs w:val="24"/>
        </w:rPr>
      </w:pPr>
    </w:p>
    <w:p>
      <w:pPr>
        <w:snapToGrid w:val="0"/>
        <w:spacing w:line="240" w:lineRule="exact"/>
        <w:jc w:val="left"/>
        <w:rPr>
          <w:rFonts w:asciiTheme="minorEastAsia" w:hAnsiTheme="minorEastAsia"/>
          <w:sz w:val="24"/>
          <w:szCs w:val="24"/>
        </w:rPr>
      </w:pPr>
      <w:r>
        <w:rPr>
          <w:rFonts w:hint="eastAsia" w:asciiTheme="minorEastAsia" w:hAnsiTheme="minorEastAsia"/>
          <w:sz w:val="24"/>
          <w:szCs w:val="24"/>
        </w:rPr>
        <w:t>注解：</w:t>
      </w:r>
    </w:p>
    <w:p>
      <w:pPr>
        <w:snapToGrid w:val="0"/>
        <w:spacing w:line="360" w:lineRule="auto"/>
        <w:ind w:firstLine="480" w:firstLineChars="200"/>
        <w:jc w:val="left"/>
        <w:rPr>
          <w:rFonts w:asciiTheme="minorEastAsia" w:hAnsiTheme="minorEastAsia"/>
          <w:sz w:val="24"/>
          <w:szCs w:val="24"/>
        </w:rPr>
      </w:pPr>
      <w:r>
        <w:rPr>
          <w:rFonts w:hint="eastAsia" w:asciiTheme="minorEastAsia" w:hAnsiTheme="minor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Theme="minorEastAsia" w:hAnsiTheme="minorEastAsia"/>
          <w:sz w:val="28"/>
          <w:szCs w:val="28"/>
        </w:rPr>
      </w:pPr>
      <w:r>
        <w:rPr>
          <w:rFonts w:hint="eastAsia" w:asciiTheme="minorEastAsia" w:hAnsiTheme="minorEastAsia"/>
          <w:sz w:val="24"/>
          <w:szCs w:val="24"/>
        </w:rPr>
        <w:t>2、申报方申请简易案件的理由是基于第4项、第5项时，无须在备注中说明相关市场和市场份额。</w:t>
      </w:r>
      <w:r>
        <w:rPr>
          <w:rFonts w:hint="eastAsia" w:asciiTheme="minorEastAsia" w:hAnsiTheme="minorEastAsia"/>
          <w:sz w:val="24"/>
          <w:szCs w:val="24"/>
        </w:rPr>
        <w:br w:type="textWrapping"/>
      </w:r>
      <w:r>
        <w:rPr>
          <w:rFonts w:hint="eastAsia" w:asciiTheme="minorEastAsia" w:hAnsiTheme="minorEastAsia"/>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94095"/>
    <w:rsid w:val="00002794"/>
    <w:rsid w:val="00014F3D"/>
    <w:rsid w:val="00094095"/>
    <w:rsid w:val="000F3D60"/>
    <w:rsid w:val="00123DF9"/>
    <w:rsid w:val="00157F4D"/>
    <w:rsid w:val="00162A54"/>
    <w:rsid w:val="0017663E"/>
    <w:rsid w:val="001B5421"/>
    <w:rsid w:val="001D4376"/>
    <w:rsid w:val="001D4552"/>
    <w:rsid w:val="001D59B6"/>
    <w:rsid w:val="001F2DCA"/>
    <w:rsid w:val="002255E6"/>
    <w:rsid w:val="00245776"/>
    <w:rsid w:val="00253FF0"/>
    <w:rsid w:val="00254730"/>
    <w:rsid w:val="00256A42"/>
    <w:rsid w:val="00267AD1"/>
    <w:rsid w:val="002B1541"/>
    <w:rsid w:val="002F2D60"/>
    <w:rsid w:val="00300FE1"/>
    <w:rsid w:val="003067E1"/>
    <w:rsid w:val="00307976"/>
    <w:rsid w:val="00462174"/>
    <w:rsid w:val="00491A41"/>
    <w:rsid w:val="005025B1"/>
    <w:rsid w:val="00505B5A"/>
    <w:rsid w:val="00516537"/>
    <w:rsid w:val="005336DC"/>
    <w:rsid w:val="005405E6"/>
    <w:rsid w:val="00553291"/>
    <w:rsid w:val="00556476"/>
    <w:rsid w:val="005753B9"/>
    <w:rsid w:val="00590900"/>
    <w:rsid w:val="00590ABB"/>
    <w:rsid w:val="005C4166"/>
    <w:rsid w:val="005F167B"/>
    <w:rsid w:val="005F6CA3"/>
    <w:rsid w:val="0062781B"/>
    <w:rsid w:val="00633FC1"/>
    <w:rsid w:val="006B4FC4"/>
    <w:rsid w:val="006E2FF1"/>
    <w:rsid w:val="00737CA2"/>
    <w:rsid w:val="00750D5D"/>
    <w:rsid w:val="00754F2D"/>
    <w:rsid w:val="007607C1"/>
    <w:rsid w:val="00781C92"/>
    <w:rsid w:val="00782DD5"/>
    <w:rsid w:val="00793DED"/>
    <w:rsid w:val="007A56B8"/>
    <w:rsid w:val="008621E6"/>
    <w:rsid w:val="00870CB9"/>
    <w:rsid w:val="00876714"/>
    <w:rsid w:val="008A1BD9"/>
    <w:rsid w:val="008B7730"/>
    <w:rsid w:val="008D6EB8"/>
    <w:rsid w:val="008E0596"/>
    <w:rsid w:val="0092528D"/>
    <w:rsid w:val="009427B5"/>
    <w:rsid w:val="009608AE"/>
    <w:rsid w:val="00995CFE"/>
    <w:rsid w:val="009C2BF4"/>
    <w:rsid w:val="00A34374"/>
    <w:rsid w:val="00A36C19"/>
    <w:rsid w:val="00A4556A"/>
    <w:rsid w:val="00A4705C"/>
    <w:rsid w:val="00A664CC"/>
    <w:rsid w:val="00AC4EE1"/>
    <w:rsid w:val="00AE74B2"/>
    <w:rsid w:val="00AF19CA"/>
    <w:rsid w:val="00B04864"/>
    <w:rsid w:val="00B411F2"/>
    <w:rsid w:val="00B5189A"/>
    <w:rsid w:val="00B91AD4"/>
    <w:rsid w:val="00BA0750"/>
    <w:rsid w:val="00BB2377"/>
    <w:rsid w:val="00BF1BC1"/>
    <w:rsid w:val="00BF6E13"/>
    <w:rsid w:val="00C8646D"/>
    <w:rsid w:val="00C9068E"/>
    <w:rsid w:val="00CE1E41"/>
    <w:rsid w:val="00D03203"/>
    <w:rsid w:val="00D21777"/>
    <w:rsid w:val="00D67051"/>
    <w:rsid w:val="00D86991"/>
    <w:rsid w:val="00DA3A1A"/>
    <w:rsid w:val="00DC42CF"/>
    <w:rsid w:val="00DC6AE8"/>
    <w:rsid w:val="00DD0A59"/>
    <w:rsid w:val="00E43109"/>
    <w:rsid w:val="00EB4A3F"/>
    <w:rsid w:val="00ED21B1"/>
    <w:rsid w:val="00EF5DC1"/>
    <w:rsid w:val="00F620CE"/>
    <w:rsid w:val="00F75761"/>
    <w:rsid w:val="00F87C1F"/>
    <w:rsid w:val="23F91011"/>
    <w:rsid w:val="4857114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2"/>
      <w:lang w:val="en-US" w:eastAsia="zh-CN" w:bidi="ar-SA"/>
    </w:rPr>
  </w:style>
  <w:style w:type="character" w:default="1" w:styleId="8">
    <w:name w:val="Default Paragraph Font"/>
    <w:unhideWhenUsed/>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17"/>
    <w:semiHidden/>
    <w:unhideWhenUsed/>
    <w:qFormat/>
    <w:uiPriority w:val="99"/>
    <w:rPr>
      <w:b/>
      <w:bCs/>
    </w:rPr>
  </w:style>
  <w:style w:type="paragraph" w:styleId="3">
    <w:name w:val="annotation text"/>
    <w:basedOn w:val="1"/>
    <w:link w:val="16"/>
    <w:semiHidden/>
    <w:unhideWhenUsed/>
    <w:qFormat/>
    <w:uiPriority w:val="99"/>
    <w:pPr>
      <w:jc w:val="left"/>
    </w:pPr>
  </w:style>
  <w:style w:type="paragraph" w:styleId="4">
    <w:name w:val="endnote text"/>
    <w:basedOn w:val="1"/>
    <w:link w:val="13"/>
    <w:semiHidden/>
    <w:unhideWhenUsed/>
    <w:uiPriority w:val="99"/>
    <w:pPr>
      <w:snapToGrid w:val="0"/>
      <w:jc w:val="left"/>
    </w:pPr>
  </w:style>
  <w:style w:type="paragraph" w:styleId="5">
    <w:name w:val="Balloon Text"/>
    <w:basedOn w:val="1"/>
    <w:link w:val="18"/>
    <w:semiHidden/>
    <w:unhideWhenUsed/>
    <w:uiPriority w:val="99"/>
    <w:rPr>
      <w:sz w:val="18"/>
      <w:szCs w:val="18"/>
    </w:rPr>
  </w:style>
  <w:style w:type="paragraph" w:styleId="6">
    <w:name w:val="footer"/>
    <w:basedOn w:val="1"/>
    <w:link w:val="15"/>
    <w:semiHidden/>
    <w:unhideWhenUsed/>
    <w:qFormat/>
    <w:uiPriority w:val="99"/>
    <w:pPr>
      <w:tabs>
        <w:tab w:val="center" w:pos="4153"/>
        <w:tab w:val="right" w:pos="8306"/>
      </w:tabs>
      <w:snapToGrid w:val="0"/>
      <w:jc w:val="left"/>
    </w:pPr>
    <w:rPr>
      <w:sz w:val="18"/>
      <w:szCs w:val="18"/>
    </w:rPr>
  </w:style>
  <w:style w:type="paragraph" w:styleId="7">
    <w:name w:val="header"/>
    <w:basedOn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endnote reference"/>
    <w:semiHidden/>
    <w:unhideWhenUsed/>
    <w:qFormat/>
    <w:uiPriority w:val="99"/>
    <w:rPr>
      <w:vertAlign w:val="superscript"/>
    </w:rPr>
  </w:style>
  <w:style w:type="character" w:styleId="10">
    <w:name w:val="annotation reference"/>
    <w:basedOn w:val="8"/>
    <w:semiHidden/>
    <w:unhideWhenUsed/>
    <w:qFormat/>
    <w:uiPriority w:val="99"/>
    <w:rPr>
      <w:sz w:val="21"/>
      <w:szCs w:val="21"/>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3">
    <w:name w:val="Endnote Text Char"/>
    <w:basedOn w:val="8"/>
    <w:link w:val="4"/>
    <w:semiHidden/>
    <w:qFormat/>
    <w:uiPriority w:val="99"/>
  </w:style>
  <w:style w:type="character" w:customStyle="1" w:styleId="14">
    <w:name w:val="Header Char"/>
    <w:link w:val="7"/>
    <w:semiHidden/>
    <w:qFormat/>
    <w:uiPriority w:val="99"/>
    <w:rPr>
      <w:sz w:val="18"/>
      <w:szCs w:val="18"/>
    </w:rPr>
  </w:style>
  <w:style w:type="character" w:customStyle="1" w:styleId="15">
    <w:name w:val="Footer Char"/>
    <w:link w:val="6"/>
    <w:semiHidden/>
    <w:qFormat/>
    <w:uiPriority w:val="99"/>
    <w:rPr>
      <w:sz w:val="18"/>
      <w:szCs w:val="18"/>
    </w:rPr>
  </w:style>
  <w:style w:type="character" w:customStyle="1" w:styleId="16">
    <w:name w:val="Comment Text Char"/>
    <w:basedOn w:val="8"/>
    <w:link w:val="3"/>
    <w:semiHidden/>
    <w:qFormat/>
    <w:uiPriority w:val="99"/>
    <w:rPr>
      <w:kern w:val="2"/>
      <w:sz w:val="21"/>
      <w:szCs w:val="22"/>
    </w:rPr>
  </w:style>
  <w:style w:type="character" w:customStyle="1" w:styleId="17">
    <w:name w:val="Comment Subject Char"/>
    <w:basedOn w:val="16"/>
    <w:link w:val="2"/>
    <w:semiHidden/>
    <w:qFormat/>
    <w:uiPriority w:val="99"/>
    <w:rPr>
      <w:b/>
      <w:bCs/>
    </w:rPr>
  </w:style>
  <w:style w:type="character" w:customStyle="1" w:styleId="18">
    <w:name w:val="Balloon Text Char"/>
    <w:basedOn w:val="8"/>
    <w:link w:val="5"/>
    <w:semiHidden/>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884045-C44A-4823-869B-D23D636D2BD1}">
  <ds:schemaRefs/>
</ds:datastoreItem>
</file>

<file path=docProps/app.xml><?xml version="1.0" encoding="utf-8"?>
<Properties xmlns="http://schemas.openxmlformats.org/officeDocument/2006/extended-properties" xmlns:vt="http://schemas.openxmlformats.org/officeDocument/2006/docPropsVTypes">
  <Template>Normal</Template>
  <Pages>3</Pages>
  <Words>233</Words>
  <Characters>1329</Characters>
  <Lines>11</Lines>
  <Paragraphs>3</Paragraphs>
  <TotalTime>2</TotalTime>
  <ScaleCrop>false</ScaleCrop>
  <LinksUpToDate>false</LinksUpToDate>
  <CharactersWithSpaces>1559</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2015-09-06T13:56:00Z</dcterms:created>
  <dc:creator>Kevin Wang</dc:creator>
  <cp:lastModifiedBy>ladyl</cp:lastModifiedBy>
  <cp:lastPrinted>2015-08-17T08:05:00Z</cp:lastPrinted>
  <dcterms:modified xsi:type="dcterms:W3CDTF">2018-11-27T08:13:45Z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