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CB00DF" w:rsidRDefault="006B7E50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附录</w:t>
      </w:r>
      <w:r>
        <w:rPr>
          <w:rFonts w:ascii="Times New Roman" w:hAnsi="Times New Roman" w:hint="eastAsia"/>
          <w:b/>
          <w:szCs w:val="21"/>
        </w:rPr>
        <w:t xml:space="preserve"> 1</w:t>
      </w:r>
      <w:bookmarkStart w:id="0" w:name="_GoBack"/>
      <w:bookmarkEnd w:id="0"/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A14CAC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A14CAC" w:rsidTr="00CB00DF">
        <w:tc>
          <w:tcPr>
            <w:tcW w:w="1809" w:type="dxa"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04AA8" w:rsidRPr="001C620A" w:rsidRDefault="009C2999" w:rsidP="006908A4">
            <w:pPr>
              <w:spacing w:line="500" w:lineRule="exac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广汽零部件有限公司与林天连布株式会社新设合营企业案</w:t>
            </w:r>
          </w:p>
        </w:tc>
      </w:tr>
      <w:tr w:rsidR="00CB00DF" w:rsidRPr="00A14CAC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04AA8" w:rsidRPr="001C620A" w:rsidRDefault="00402E4D" w:rsidP="00CF6C44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通过本次交易，</w:t>
            </w:r>
            <w:r w:rsidR="0031330E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广汽零部件有限公司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（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“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广汽部件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”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）</w:t>
            </w:r>
            <w:r w:rsidR="0031330E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与林天连布株式会社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（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“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林天连布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”</w:t>
            </w:r>
            <w:r w:rsidR="00351611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）</w:t>
            </w:r>
            <w:r w:rsidR="003F3BA5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拟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共同出资设</w:t>
            </w:r>
            <w:r w:rsidR="0078612D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立</w:t>
            </w:r>
            <w:r w:rsidR="003F3BA5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合营企业</w:t>
            </w:r>
            <w:r w:rsidR="0078612D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。</w:t>
            </w:r>
            <w:r w:rsidR="00CF6C44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本次交易完成后，广汽部件和连天连布将共同控制合营企业。</w:t>
            </w:r>
          </w:p>
        </w:tc>
      </w:tr>
      <w:tr w:rsidR="00CB00DF" w:rsidRPr="00A14CAC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1C620A" w:rsidRDefault="00CB00DF" w:rsidP="002A72C2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1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、</w:t>
            </w:r>
            <w:r w:rsidR="00E132FD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广汽部件</w:t>
            </w:r>
          </w:p>
        </w:tc>
        <w:tc>
          <w:tcPr>
            <w:tcW w:w="5153" w:type="dxa"/>
          </w:tcPr>
          <w:p w:rsidR="00CB00DF" w:rsidRPr="001C620A" w:rsidRDefault="00FF30CE" w:rsidP="00CF6C44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广汽部件是</w:t>
            </w:r>
            <w:r w:rsidR="00CF6C44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广州汽车集团股份有限公司下属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一家投资管理型公司，主要通过独资、合资或股权交易的方式设立下属投资企业，下属投资企业以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OEM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的方式向整车企业生产配套相关零部件产品。广汽部件的主要业务为汽车零部件的相关生产，初步形成了内饰系统、热交换系统、照明系统、底盘相关部件等多系列、多品种的生产。</w:t>
            </w:r>
          </w:p>
        </w:tc>
      </w:tr>
      <w:tr w:rsidR="00CB00DF" w:rsidRPr="00A14CAC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1C620A" w:rsidRDefault="00CB00DF" w:rsidP="0003706B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2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、</w:t>
            </w:r>
            <w:r w:rsidR="00E132FD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林天连布</w:t>
            </w:r>
          </w:p>
        </w:tc>
        <w:tc>
          <w:tcPr>
            <w:tcW w:w="5153" w:type="dxa"/>
          </w:tcPr>
          <w:p w:rsidR="00814992" w:rsidRPr="001C620A" w:rsidRDefault="00757AD8" w:rsidP="0003706B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林天连布于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1950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年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12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月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9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日设立，原名为株式会社林天连布商会，</w:t>
            </w:r>
            <w:r w:rsidR="00810BD8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是日本</w:t>
            </w:r>
            <w:r w:rsidR="000D6843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的一家</w:t>
            </w:r>
            <w:r w:rsidR="00810BD8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汽车内外饰件综合供应商，</w:t>
            </w:r>
            <w:r w:rsidR="000D6843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总部位于日本爱知县名古屋市，</w:t>
            </w:r>
            <w:r w:rsidR="00810BD8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主要从事汽车内外饰件制造和批发业务。</w:t>
            </w:r>
          </w:p>
        </w:tc>
      </w:tr>
      <w:tr w:rsidR="00CB00DF" w:rsidRPr="00A14CAC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1C620A" w:rsidRDefault="00673316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sym w:font="Wingdings" w:char="F0FE"/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1.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15%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A14CAC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C620A" w:rsidRDefault="00673316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sym w:font="Wingdings" w:char="F0FE"/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2.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="00CB00DF"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A14CAC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C620A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□3.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A14CAC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C620A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□4.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A14CAC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C620A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□5.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A14CAC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C620A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□6.</w:t>
            </w:r>
            <w:r w:rsidRPr="001C620A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A14CAC" w:rsidTr="00CB00DF">
        <w:tc>
          <w:tcPr>
            <w:tcW w:w="1809" w:type="dxa"/>
            <w:shd w:val="clear" w:color="auto" w:fill="D9D9D9"/>
            <w:vAlign w:val="center"/>
          </w:tcPr>
          <w:p w:rsidR="00CB00DF" w:rsidRPr="00A14CAC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14CAC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A51923" w:rsidRPr="001C620A" w:rsidRDefault="003A4415" w:rsidP="00193B29">
            <w:pPr>
              <w:spacing w:line="500" w:lineRule="exac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2018</w:t>
            </w:r>
            <w:r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年，</w:t>
            </w:r>
            <w:r w:rsidR="00193B29" w:rsidRPr="001C620A">
              <w:rPr>
                <w:rFonts w:ascii="Arial" w:eastAsia="楷体_GB2312" w:hAnsi="Arial" w:cs="Arial"/>
                <w:kern w:val="0"/>
                <w:sz w:val="28"/>
                <w:szCs w:val="28"/>
              </w:rPr>
              <w:t>相关市场、广汽部件和林天连布各自及合计的市场份额如下：</w:t>
            </w:r>
          </w:p>
          <w:tbl>
            <w:tblPr>
              <w:tblW w:w="0" w:type="auto"/>
              <w:tblInd w:w="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51"/>
              <w:gridCol w:w="1586"/>
              <w:gridCol w:w="1262"/>
              <w:gridCol w:w="1586"/>
            </w:tblGrid>
            <w:tr w:rsidR="00847DAB" w:rsidRPr="001C620A" w:rsidTr="00637A1F"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相关市场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广汽部件</w:t>
                  </w:r>
                  <w:r w:rsidRPr="001C620A" w:rsidDel="00CF6C44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林天连布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合计</w:t>
                  </w:r>
                </w:p>
              </w:tc>
            </w:tr>
            <w:tr w:rsidR="00847DAB" w:rsidRPr="001C620A" w:rsidTr="00637A1F">
              <w:trPr>
                <w:trHeight w:val="744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门板市场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</w:tr>
            <w:tr w:rsidR="00847DAB" w:rsidRPr="001C620A" w:rsidTr="00637A1F">
              <w:trPr>
                <w:trHeight w:val="113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地毯市场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750D72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</w:t>
                  </w:r>
                  <w:r w:rsidR="00750D72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10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%-</w:t>
                  </w:r>
                  <w:r w:rsidR="004E0754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1</w:t>
                  </w:r>
                  <w:r w:rsidR="00750D72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5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750D72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</w:t>
                  </w:r>
                  <w:r w:rsidR="00750D72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10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%-</w:t>
                  </w:r>
                  <w:r w:rsidR="004E0754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1</w:t>
                  </w:r>
                  <w:r w:rsidR="00750D72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5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%]</w:t>
                  </w:r>
                </w:p>
              </w:tc>
            </w:tr>
            <w:tr w:rsidR="00847DAB" w:rsidRPr="001C620A" w:rsidTr="00637A1F">
              <w:trPr>
                <w:trHeight w:val="113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行李箱备胎盖板市场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</w:tr>
            <w:tr w:rsidR="00847DAB" w:rsidRPr="001C620A" w:rsidTr="00637A1F"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隔音件市场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[5%-10%]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[5%-10%]</w:t>
                  </w:r>
                </w:p>
              </w:tc>
            </w:tr>
            <w:tr w:rsidR="00847DAB" w:rsidRPr="001C620A" w:rsidTr="00637A1F">
              <w:trPr>
                <w:trHeight w:val="57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底护板市场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</w:tr>
            <w:tr w:rsidR="00847DAB" w:rsidRPr="001C620A" w:rsidTr="00637A1F">
              <w:trPr>
                <w:trHeight w:val="57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lastRenderedPageBreak/>
                    <w:t>中国</w:t>
                  </w:r>
                  <w:r w:rsidR="009924FB">
                    <w:rPr>
                      <w:rFonts w:ascii="Arial" w:eastAsia="楷体_GB2312" w:hAnsi="Arial" w:cs="Arial" w:hint="eastAsia"/>
                      <w:kern w:val="0"/>
                      <w:sz w:val="28"/>
                      <w:szCs w:val="28"/>
                    </w:rPr>
                    <w:t>乘用车</w:t>
                  </w: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座椅毛毡市场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[0%-5%]</w:t>
                  </w:r>
                </w:p>
              </w:tc>
            </w:tr>
            <w:tr w:rsidR="00847DAB" w:rsidRPr="001C620A" w:rsidTr="00637A1F">
              <w:trPr>
                <w:trHeight w:val="57"/>
              </w:trPr>
              <w:tc>
                <w:tcPr>
                  <w:tcW w:w="2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中国乘用车整车生产和供应市场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[5%-10%]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47DAB" w:rsidRPr="001C620A" w:rsidRDefault="00847DAB" w:rsidP="00847DAB">
                  <w:pPr>
                    <w:spacing w:line="500" w:lineRule="exact"/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</w:pPr>
                  <w:r w:rsidRPr="001C620A">
                    <w:rPr>
                      <w:rFonts w:ascii="Arial" w:eastAsia="楷体_GB2312" w:hAnsi="Arial" w:cs="Arial"/>
                      <w:kern w:val="0"/>
                      <w:sz w:val="28"/>
                      <w:szCs w:val="28"/>
                    </w:rPr>
                    <w:t>[5%-10%]</w:t>
                  </w:r>
                </w:p>
              </w:tc>
            </w:tr>
          </w:tbl>
          <w:p w:rsidR="00847DAB" w:rsidRPr="001C620A" w:rsidRDefault="00847DAB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</w:tr>
    </w:tbl>
    <w:p w:rsidR="00CB00DF" w:rsidRPr="00A14CAC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Cs w:val="21"/>
        </w:rPr>
      </w:pPr>
    </w:p>
    <w:p w:rsidR="00CB00DF" w:rsidRPr="001C620A" w:rsidRDefault="00CB00DF" w:rsidP="00CB00DF">
      <w:pPr>
        <w:snapToGrid w:val="0"/>
        <w:spacing w:line="240" w:lineRule="exact"/>
        <w:jc w:val="left"/>
        <w:rPr>
          <w:rFonts w:ascii="Arial" w:eastAsia="楷体_GB2312" w:hAnsi="Arial" w:cs="Arial"/>
          <w:kern w:val="0"/>
          <w:sz w:val="24"/>
          <w:szCs w:val="24"/>
        </w:rPr>
      </w:pP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注解：</w:t>
      </w:r>
    </w:p>
    <w:p w:rsidR="00CB00DF" w:rsidRPr="001C620A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Arial" w:eastAsia="楷体_GB2312" w:hAnsi="Arial" w:cs="Arial"/>
          <w:kern w:val="0"/>
          <w:sz w:val="24"/>
          <w:szCs w:val="24"/>
        </w:rPr>
      </w:pP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1.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申报方申请简易案件的理由是基于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1-3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5%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。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1-3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项可以多选，也可单选；没有勾选的，视为本集中不涉及该类型交易。</w:t>
      </w:r>
    </w:p>
    <w:p w:rsidR="000F5E24" w:rsidRPr="001C620A" w:rsidRDefault="00CB00DF" w:rsidP="00532936">
      <w:pPr>
        <w:spacing w:line="360" w:lineRule="auto"/>
        <w:ind w:firstLineChars="200" w:firstLine="480"/>
        <w:rPr>
          <w:rFonts w:ascii="Arial" w:eastAsia="楷体_GB2312" w:hAnsi="Arial" w:cs="Arial"/>
          <w:kern w:val="0"/>
          <w:sz w:val="24"/>
          <w:szCs w:val="24"/>
        </w:rPr>
      </w:pP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2.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申报方申请简易案件的理由是基于第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4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项、第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5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项时，无须在备注中说明相关市场和市场份额。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br/>
        <w:t xml:space="preserve">    3.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1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项和第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6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5%</w:t>
      </w:r>
      <w:r w:rsidRPr="001C620A">
        <w:rPr>
          <w:rFonts w:ascii="Arial" w:eastAsia="楷体_GB2312" w:hAnsi="Arial" w:cs="Arial" w:hint="eastAsia"/>
          <w:kern w:val="0"/>
          <w:sz w:val="24"/>
          <w:szCs w:val="24"/>
        </w:rPr>
        <w:t>。</w:t>
      </w:r>
    </w:p>
    <w:sectPr w:rsidR="000F5E24" w:rsidRPr="001C620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415" w:rsidRDefault="003A4415" w:rsidP="003A4415">
      <w:r>
        <w:separator/>
      </w:r>
    </w:p>
  </w:endnote>
  <w:endnote w:type="continuationSeparator" w:id="0">
    <w:p w:rsidR="003A4415" w:rsidRDefault="003A4415" w:rsidP="003A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415" w:rsidRDefault="003A4415" w:rsidP="003A4415">
      <w:r>
        <w:separator/>
      </w:r>
    </w:p>
  </w:footnote>
  <w:footnote w:type="continuationSeparator" w:id="0">
    <w:p w:rsidR="003A4415" w:rsidRDefault="003A4415" w:rsidP="003A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E370D"/>
    <w:multiLevelType w:val="hybridMultilevel"/>
    <w:tmpl w:val="7E5E65C4"/>
    <w:lvl w:ilvl="0" w:tplc="1B7CB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3706B"/>
    <w:rsid w:val="000B03DE"/>
    <w:rsid w:val="000D6843"/>
    <w:rsid w:val="000D7EBA"/>
    <w:rsid w:val="001164CD"/>
    <w:rsid w:val="00144FAC"/>
    <w:rsid w:val="00155717"/>
    <w:rsid w:val="00173053"/>
    <w:rsid w:val="001837A3"/>
    <w:rsid w:val="00193B29"/>
    <w:rsid w:val="001C620A"/>
    <w:rsid w:val="0025111C"/>
    <w:rsid w:val="002A67F9"/>
    <w:rsid w:val="002A72C2"/>
    <w:rsid w:val="002E0820"/>
    <w:rsid w:val="002F7C04"/>
    <w:rsid w:val="0031330E"/>
    <w:rsid w:val="00351611"/>
    <w:rsid w:val="003A4415"/>
    <w:rsid w:val="003C0AEB"/>
    <w:rsid w:val="003F3BA5"/>
    <w:rsid w:val="00402E4D"/>
    <w:rsid w:val="00410DF9"/>
    <w:rsid w:val="00435A56"/>
    <w:rsid w:val="004D22E0"/>
    <w:rsid w:val="004E0754"/>
    <w:rsid w:val="004F7688"/>
    <w:rsid w:val="00510423"/>
    <w:rsid w:val="00532936"/>
    <w:rsid w:val="005627DD"/>
    <w:rsid w:val="00590BB8"/>
    <w:rsid w:val="005C39FE"/>
    <w:rsid w:val="00604605"/>
    <w:rsid w:val="00605B17"/>
    <w:rsid w:val="006213B0"/>
    <w:rsid w:val="006467D8"/>
    <w:rsid w:val="00673316"/>
    <w:rsid w:val="006A531B"/>
    <w:rsid w:val="006B7E50"/>
    <w:rsid w:val="006F7693"/>
    <w:rsid w:val="00710140"/>
    <w:rsid w:val="00742E6A"/>
    <w:rsid w:val="00750D72"/>
    <w:rsid w:val="00757AD8"/>
    <w:rsid w:val="0078612D"/>
    <w:rsid w:val="00790E6C"/>
    <w:rsid w:val="007C5D26"/>
    <w:rsid w:val="007C5D85"/>
    <w:rsid w:val="007C6F6B"/>
    <w:rsid w:val="007F2275"/>
    <w:rsid w:val="00810BD8"/>
    <w:rsid w:val="00814992"/>
    <w:rsid w:val="00847DAB"/>
    <w:rsid w:val="008F35AA"/>
    <w:rsid w:val="009004A3"/>
    <w:rsid w:val="00915F0F"/>
    <w:rsid w:val="009532DF"/>
    <w:rsid w:val="009924FB"/>
    <w:rsid w:val="00997019"/>
    <w:rsid w:val="009A2E9E"/>
    <w:rsid w:val="009A5029"/>
    <w:rsid w:val="009C2999"/>
    <w:rsid w:val="009D38D5"/>
    <w:rsid w:val="009D402E"/>
    <w:rsid w:val="00A14CAC"/>
    <w:rsid w:val="00A46BA1"/>
    <w:rsid w:val="00A47DA8"/>
    <w:rsid w:val="00A51923"/>
    <w:rsid w:val="00A53F26"/>
    <w:rsid w:val="00A54AEC"/>
    <w:rsid w:val="00AA0CC5"/>
    <w:rsid w:val="00AB52AC"/>
    <w:rsid w:val="00AF68FA"/>
    <w:rsid w:val="00B16AFE"/>
    <w:rsid w:val="00B65DD5"/>
    <w:rsid w:val="00BD10B6"/>
    <w:rsid w:val="00C04AA8"/>
    <w:rsid w:val="00C07076"/>
    <w:rsid w:val="00C2379D"/>
    <w:rsid w:val="00CA5E35"/>
    <w:rsid w:val="00CB00DF"/>
    <w:rsid w:val="00CF6C44"/>
    <w:rsid w:val="00D03D9B"/>
    <w:rsid w:val="00D56F8E"/>
    <w:rsid w:val="00D64854"/>
    <w:rsid w:val="00D73C72"/>
    <w:rsid w:val="00D94C91"/>
    <w:rsid w:val="00DA2F9B"/>
    <w:rsid w:val="00DC15B6"/>
    <w:rsid w:val="00E0592B"/>
    <w:rsid w:val="00E132FD"/>
    <w:rsid w:val="00E20128"/>
    <w:rsid w:val="00E31738"/>
    <w:rsid w:val="00E414EC"/>
    <w:rsid w:val="00E65F9C"/>
    <w:rsid w:val="00E86786"/>
    <w:rsid w:val="00EA1EE6"/>
    <w:rsid w:val="00EB5642"/>
    <w:rsid w:val="00ED2F80"/>
    <w:rsid w:val="00F1624E"/>
    <w:rsid w:val="00F32F8A"/>
    <w:rsid w:val="00F530D9"/>
    <w:rsid w:val="00F810AA"/>
    <w:rsid w:val="00FB43EC"/>
    <w:rsid w:val="00FB6B40"/>
    <w:rsid w:val="00FF30CE"/>
    <w:rsid w:val="00FF6A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C3132AD"/>
  <w15:docId w15:val="{AB719FD4-4398-4222-A1A0-D24E704B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D8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A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415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415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CF6C4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F6C4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KWM</cp:lastModifiedBy>
  <cp:revision>139</cp:revision>
  <dcterms:created xsi:type="dcterms:W3CDTF">2018-09-29T02:33:00Z</dcterms:created>
  <dcterms:modified xsi:type="dcterms:W3CDTF">2019-03-27T03:49:00Z</dcterms:modified>
</cp:coreProperties>
</file>