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00DF" w:rsidRPr="00EA3A17" w:rsidRDefault="00CB00DF" w:rsidP="00CB00DF">
      <w:pPr>
        <w:spacing w:line="440" w:lineRule="exact"/>
        <w:jc w:val="center"/>
        <w:rPr>
          <w:rFonts w:ascii="Times New Roman" w:hAnsi="Times New Roman"/>
          <w:sz w:val="30"/>
          <w:szCs w:val="30"/>
        </w:rPr>
      </w:pPr>
      <w:bookmarkStart w:id="0" w:name="_GoBack"/>
      <w:bookmarkEnd w:id="0"/>
      <w:r w:rsidRPr="00EA3A17">
        <w:rPr>
          <w:rFonts w:ascii="Times New Roman" w:hAnsi="Times New Roman"/>
          <w:sz w:val="30"/>
          <w:szCs w:val="30"/>
        </w:rPr>
        <w:t>经营者集中简易案件公示表</w:t>
      </w:r>
    </w:p>
    <w:p w:rsidR="00CB00DF" w:rsidRPr="00EA3A17" w:rsidRDefault="00CB00DF" w:rsidP="00B42D28">
      <w:pPr>
        <w:spacing w:line="440" w:lineRule="exact"/>
        <w:rPr>
          <w:rFonts w:ascii="Times New Roman"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567E25" w:rsidTr="00CB00DF">
        <w:tc>
          <w:tcPr>
            <w:tcW w:w="1809" w:type="dxa"/>
            <w:shd w:val="clear" w:color="auto" w:fill="D9D9D9"/>
            <w:vAlign w:val="center"/>
          </w:tcPr>
          <w:p w:rsidR="00CB00DF" w:rsidRPr="00567E25" w:rsidRDefault="00CB00DF" w:rsidP="00CB00DF">
            <w:pPr>
              <w:spacing w:line="500" w:lineRule="exact"/>
              <w:jc w:val="center"/>
              <w:rPr>
                <w:rFonts w:ascii="Times New Roman" w:hAnsi="Times New Roman"/>
                <w:b/>
                <w:color w:val="333333"/>
                <w:kern w:val="0"/>
                <w:sz w:val="24"/>
                <w:szCs w:val="24"/>
                <w:bdr w:val="none" w:sz="0" w:space="0" w:color="auto" w:frame="1"/>
              </w:rPr>
            </w:pPr>
            <w:r w:rsidRPr="00567E25">
              <w:rPr>
                <w:rFonts w:ascii="Times New Roman" w:hAnsi="Times New Roman"/>
                <w:b/>
                <w:color w:val="333333"/>
                <w:kern w:val="0"/>
                <w:sz w:val="24"/>
                <w:szCs w:val="24"/>
                <w:bdr w:val="none" w:sz="0" w:space="0" w:color="auto" w:frame="1"/>
              </w:rPr>
              <w:t>案件名称</w:t>
            </w:r>
          </w:p>
        </w:tc>
        <w:tc>
          <w:tcPr>
            <w:tcW w:w="6949" w:type="dxa"/>
            <w:gridSpan w:val="2"/>
          </w:tcPr>
          <w:p w:rsidR="00CB00DF" w:rsidRPr="00567E25" w:rsidRDefault="00D91F78" w:rsidP="006908A4">
            <w:pPr>
              <w:spacing w:line="500" w:lineRule="exact"/>
              <w:rPr>
                <w:rFonts w:ascii="Times New Roman" w:hAnsi="Times New Roman"/>
                <w:color w:val="333333"/>
                <w:kern w:val="0"/>
                <w:sz w:val="24"/>
                <w:szCs w:val="24"/>
                <w:bdr w:val="none" w:sz="0" w:space="0" w:color="auto" w:frame="1"/>
              </w:rPr>
            </w:pPr>
            <w:r w:rsidRPr="00D91F78">
              <w:rPr>
                <w:rFonts w:ascii="Times New Roman" w:hAnsi="Times New Roman" w:hint="eastAsia"/>
                <w:color w:val="333333"/>
                <w:kern w:val="0"/>
                <w:sz w:val="24"/>
                <w:szCs w:val="24"/>
                <w:bdr w:val="none" w:sz="0" w:space="0" w:color="auto" w:frame="1"/>
              </w:rPr>
              <w:t>埃克森美孚公司收购金通天然气终端有限责任公司等两家公司股权案</w:t>
            </w:r>
          </w:p>
        </w:tc>
      </w:tr>
      <w:tr w:rsidR="00CB00DF" w:rsidRPr="00567E25" w:rsidTr="00CB00DF">
        <w:trPr>
          <w:trHeight w:val="993"/>
        </w:trPr>
        <w:tc>
          <w:tcPr>
            <w:tcW w:w="1809" w:type="dxa"/>
            <w:shd w:val="clear" w:color="auto" w:fill="D9D9D9"/>
            <w:vAlign w:val="center"/>
          </w:tcPr>
          <w:p w:rsidR="00F1624E" w:rsidRPr="00567E25" w:rsidRDefault="00CB00DF" w:rsidP="00CB00DF">
            <w:pPr>
              <w:spacing w:line="500" w:lineRule="exact"/>
              <w:jc w:val="center"/>
              <w:rPr>
                <w:rFonts w:ascii="Times New Roman" w:hAnsi="Times New Roman"/>
                <w:b/>
                <w:color w:val="333333"/>
                <w:kern w:val="0"/>
                <w:sz w:val="24"/>
                <w:szCs w:val="24"/>
                <w:bdr w:val="none" w:sz="0" w:space="0" w:color="auto" w:frame="1"/>
              </w:rPr>
            </w:pPr>
            <w:r w:rsidRPr="00567E25">
              <w:rPr>
                <w:rFonts w:ascii="Times New Roman" w:hAnsi="Times New Roman"/>
                <w:b/>
                <w:color w:val="333333"/>
                <w:kern w:val="0"/>
                <w:sz w:val="24"/>
                <w:szCs w:val="24"/>
                <w:bdr w:val="none" w:sz="0" w:space="0" w:color="auto" w:frame="1"/>
              </w:rPr>
              <w:t>交易概况</w:t>
            </w:r>
          </w:p>
          <w:p w:rsidR="00CB00DF" w:rsidRPr="00567E25" w:rsidRDefault="00CB00DF" w:rsidP="00CB00DF">
            <w:pPr>
              <w:spacing w:line="500" w:lineRule="exact"/>
              <w:jc w:val="center"/>
              <w:rPr>
                <w:rFonts w:ascii="Times New Roman" w:hAnsi="Times New Roman"/>
                <w:b/>
                <w:color w:val="333333"/>
                <w:kern w:val="0"/>
                <w:sz w:val="24"/>
                <w:szCs w:val="24"/>
                <w:bdr w:val="none" w:sz="0" w:space="0" w:color="auto" w:frame="1"/>
              </w:rPr>
            </w:pPr>
            <w:r w:rsidRPr="00567E25">
              <w:rPr>
                <w:rFonts w:ascii="Times New Roman" w:hAnsi="Times New Roman"/>
                <w:b/>
                <w:color w:val="333333"/>
                <w:kern w:val="0"/>
                <w:sz w:val="24"/>
                <w:szCs w:val="24"/>
                <w:bdr w:val="none" w:sz="0" w:space="0" w:color="auto" w:frame="1"/>
              </w:rPr>
              <w:t>（限</w:t>
            </w:r>
            <w:r w:rsidRPr="00567E25">
              <w:rPr>
                <w:rFonts w:ascii="Times New Roman" w:hAnsi="Times New Roman"/>
                <w:b/>
                <w:color w:val="333333"/>
                <w:kern w:val="0"/>
                <w:sz w:val="24"/>
                <w:szCs w:val="24"/>
                <w:bdr w:val="none" w:sz="0" w:space="0" w:color="auto" w:frame="1"/>
              </w:rPr>
              <w:t>200</w:t>
            </w:r>
            <w:r w:rsidRPr="00567E25">
              <w:rPr>
                <w:rFonts w:ascii="Times New Roman" w:hAnsi="Times New Roman"/>
                <w:b/>
                <w:color w:val="333333"/>
                <w:kern w:val="0"/>
                <w:sz w:val="24"/>
                <w:szCs w:val="24"/>
                <w:bdr w:val="none" w:sz="0" w:space="0" w:color="auto" w:frame="1"/>
              </w:rPr>
              <w:t>字内）</w:t>
            </w:r>
          </w:p>
        </w:tc>
        <w:tc>
          <w:tcPr>
            <w:tcW w:w="6949" w:type="dxa"/>
            <w:gridSpan w:val="2"/>
          </w:tcPr>
          <w:p w:rsidR="00CB00DF" w:rsidRPr="00567E25" w:rsidRDefault="00EA3A17" w:rsidP="00EA3A17">
            <w:pPr>
              <w:spacing w:line="500" w:lineRule="exact"/>
              <w:rPr>
                <w:rFonts w:ascii="Times New Roman" w:hAnsi="Times New Roman"/>
                <w:color w:val="333333"/>
                <w:kern w:val="0"/>
                <w:sz w:val="24"/>
                <w:szCs w:val="24"/>
                <w:bdr w:val="none" w:sz="0" w:space="0" w:color="auto" w:frame="1"/>
              </w:rPr>
            </w:pPr>
            <w:r w:rsidRPr="00567E25">
              <w:rPr>
                <w:rFonts w:ascii="Times New Roman" w:hAnsi="Times New Roman" w:hint="eastAsia"/>
                <w:color w:val="333333"/>
                <w:kern w:val="0"/>
                <w:sz w:val="24"/>
                <w:szCs w:val="24"/>
                <w:bdr w:val="none" w:sz="0" w:space="0" w:color="auto" w:frame="1"/>
              </w:rPr>
              <w:t>拟议交易涉及的是埃克森美孚公司（“</w:t>
            </w:r>
            <w:r w:rsidRPr="00567E25">
              <w:rPr>
                <w:rFonts w:ascii="Times New Roman" w:hAnsi="Times New Roman" w:hint="eastAsia"/>
                <w:b/>
                <w:color w:val="333333"/>
                <w:kern w:val="0"/>
                <w:sz w:val="24"/>
                <w:szCs w:val="24"/>
                <w:bdr w:val="none" w:sz="0" w:space="0" w:color="auto" w:frame="1"/>
              </w:rPr>
              <w:t>埃克森美孚</w:t>
            </w:r>
            <w:r w:rsidRPr="00567E25">
              <w:rPr>
                <w:rFonts w:ascii="Times New Roman" w:hAnsi="Times New Roman" w:hint="eastAsia"/>
                <w:color w:val="333333"/>
                <w:kern w:val="0"/>
                <w:sz w:val="24"/>
                <w:szCs w:val="24"/>
                <w:bdr w:val="none" w:sz="0" w:space="0" w:color="auto" w:frame="1"/>
              </w:rPr>
              <w:t>”）从康菲石油公司（“</w:t>
            </w:r>
            <w:r w:rsidRPr="00567E25">
              <w:rPr>
                <w:rFonts w:ascii="Times New Roman" w:hAnsi="Times New Roman" w:hint="eastAsia"/>
                <w:b/>
                <w:color w:val="333333"/>
                <w:kern w:val="0"/>
                <w:sz w:val="24"/>
                <w:szCs w:val="24"/>
                <w:bdr w:val="none" w:sz="0" w:space="0" w:color="auto" w:frame="1"/>
              </w:rPr>
              <w:t>康菲石油”</w:t>
            </w:r>
            <w:r w:rsidRPr="00567E25">
              <w:rPr>
                <w:rFonts w:ascii="Times New Roman" w:hAnsi="Times New Roman" w:hint="eastAsia"/>
                <w:color w:val="333333"/>
                <w:kern w:val="0"/>
                <w:sz w:val="24"/>
                <w:szCs w:val="24"/>
                <w:bdr w:val="none" w:sz="0" w:space="0" w:color="auto" w:frame="1"/>
              </w:rPr>
              <w:t>）处收购（</w:t>
            </w:r>
            <w:r w:rsidRPr="00567E25">
              <w:rPr>
                <w:rFonts w:ascii="Times New Roman" w:hAnsi="Times New Roman" w:hint="eastAsia"/>
                <w:color w:val="333333"/>
                <w:kern w:val="0"/>
                <w:sz w:val="24"/>
                <w:szCs w:val="24"/>
                <w:bdr w:val="none" w:sz="0" w:space="0" w:color="auto" w:frame="1"/>
              </w:rPr>
              <w:t>1</w:t>
            </w:r>
            <w:r w:rsidRPr="00567E25">
              <w:rPr>
                <w:rFonts w:ascii="Times New Roman" w:hAnsi="Times New Roman" w:hint="eastAsia"/>
                <w:color w:val="333333"/>
                <w:kern w:val="0"/>
                <w:sz w:val="24"/>
                <w:szCs w:val="24"/>
                <w:bdr w:val="none" w:sz="0" w:space="0" w:color="auto" w:frame="1"/>
              </w:rPr>
              <w:t>）金通管道有限责任公司和（</w:t>
            </w:r>
            <w:r w:rsidRPr="00567E25">
              <w:rPr>
                <w:rFonts w:ascii="Times New Roman" w:hAnsi="Times New Roman" w:hint="eastAsia"/>
                <w:color w:val="333333"/>
                <w:kern w:val="0"/>
                <w:sz w:val="24"/>
                <w:szCs w:val="24"/>
                <w:bdr w:val="none" w:sz="0" w:space="0" w:color="auto" w:frame="1"/>
              </w:rPr>
              <w:t>2</w:t>
            </w:r>
            <w:r w:rsidRPr="00567E25">
              <w:rPr>
                <w:rFonts w:ascii="Times New Roman" w:hAnsi="Times New Roman" w:hint="eastAsia"/>
                <w:color w:val="333333"/>
                <w:kern w:val="0"/>
                <w:sz w:val="24"/>
                <w:szCs w:val="24"/>
                <w:bdr w:val="none" w:sz="0" w:space="0" w:color="auto" w:frame="1"/>
              </w:rPr>
              <w:t>）金通天然气终端有限公司</w:t>
            </w:r>
            <w:r w:rsidR="00D91F78">
              <w:rPr>
                <w:rFonts w:ascii="Times New Roman" w:hAnsi="Times New Roman" w:hint="eastAsia"/>
                <w:color w:val="333333"/>
                <w:kern w:val="0"/>
                <w:sz w:val="24"/>
                <w:szCs w:val="24"/>
                <w:bdr w:val="none" w:sz="0" w:space="0" w:color="auto" w:frame="1"/>
              </w:rPr>
              <w:t>两家公司</w:t>
            </w:r>
            <w:r w:rsidRPr="00567E25">
              <w:rPr>
                <w:rFonts w:ascii="Times New Roman" w:hAnsi="Times New Roman" w:hint="eastAsia"/>
                <w:color w:val="333333"/>
                <w:kern w:val="0"/>
                <w:sz w:val="24"/>
                <w:szCs w:val="24"/>
                <w:bdr w:val="none" w:sz="0" w:space="0" w:color="auto" w:frame="1"/>
              </w:rPr>
              <w:t>的额外股份。拟议交易完成后，</w:t>
            </w:r>
            <w:r w:rsidR="00D91F78">
              <w:rPr>
                <w:rFonts w:ascii="Times New Roman" w:hAnsi="Times New Roman" w:hint="eastAsia"/>
                <w:color w:val="333333"/>
                <w:kern w:val="0"/>
                <w:sz w:val="24"/>
                <w:szCs w:val="24"/>
                <w:bdr w:val="none" w:sz="0" w:space="0" w:color="auto" w:frame="1"/>
              </w:rPr>
              <w:t>上述两家</w:t>
            </w:r>
            <w:r w:rsidRPr="00567E25">
              <w:rPr>
                <w:rFonts w:ascii="Times New Roman" w:hAnsi="Times New Roman" w:hint="eastAsia"/>
                <w:color w:val="333333"/>
                <w:kern w:val="0"/>
                <w:sz w:val="24"/>
                <w:szCs w:val="24"/>
                <w:bdr w:val="none" w:sz="0" w:space="0" w:color="auto" w:frame="1"/>
              </w:rPr>
              <w:t>公司将</w:t>
            </w:r>
            <w:r w:rsidR="00D91F78">
              <w:rPr>
                <w:rFonts w:ascii="Times New Roman" w:hAnsi="Times New Roman" w:hint="eastAsia"/>
                <w:color w:val="333333"/>
                <w:kern w:val="0"/>
                <w:sz w:val="24"/>
                <w:szCs w:val="24"/>
                <w:bdr w:val="none" w:sz="0" w:space="0" w:color="auto" w:frame="1"/>
              </w:rPr>
              <w:t>分别</w:t>
            </w:r>
            <w:r w:rsidRPr="00567E25">
              <w:rPr>
                <w:rFonts w:ascii="Times New Roman" w:hAnsi="Times New Roman" w:hint="eastAsia"/>
                <w:color w:val="333333"/>
                <w:kern w:val="0"/>
                <w:sz w:val="24"/>
                <w:szCs w:val="24"/>
                <w:bdr w:val="none" w:sz="0" w:space="0" w:color="auto" w:frame="1"/>
              </w:rPr>
              <w:t>由埃克森美孚</w:t>
            </w:r>
            <w:r w:rsidR="00D91F78">
              <w:rPr>
                <w:rFonts w:ascii="Times New Roman" w:hAnsi="Times New Roman" w:hint="eastAsia"/>
                <w:color w:val="333333"/>
                <w:kern w:val="0"/>
                <w:sz w:val="24"/>
                <w:szCs w:val="24"/>
                <w:bdr w:val="none" w:sz="0" w:space="0" w:color="auto" w:frame="1"/>
              </w:rPr>
              <w:t>持股</w:t>
            </w:r>
            <w:r w:rsidRPr="00567E25">
              <w:rPr>
                <w:rFonts w:ascii="Times New Roman" w:hAnsi="Times New Roman" w:hint="eastAsia"/>
                <w:color w:val="333333"/>
                <w:kern w:val="0"/>
                <w:sz w:val="24"/>
                <w:szCs w:val="24"/>
                <w:bdr w:val="none" w:sz="0" w:space="0" w:color="auto" w:frame="1"/>
              </w:rPr>
              <w:t>30</w:t>
            </w:r>
            <w:r w:rsidR="008A300C" w:rsidRPr="00567E25">
              <w:rPr>
                <w:rFonts w:ascii="Times New Roman" w:hAnsi="Times New Roman" w:hint="eastAsia"/>
                <w:color w:val="333333"/>
                <w:kern w:val="0"/>
                <w:sz w:val="24"/>
                <w:szCs w:val="24"/>
                <w:bdr w:val="none" w:sz="0" w:space="0" w:color="auto" w:frame="1"/>
              </w:rPr>
              <w:t>%</w:t>
            </w:r>
            <w:r w:rsidRPr="00567E25">
              <w:rPr>
                <w:rFonts w:ascii="Times New Roman" w:hAnsi="Times New Roman" w:hint="eastAsia"/>
                <w:color w:val="333333"/>
                <w:kern w:val="0"/>
                <w:sz w:val="24"/>
                <w:szCs w:val="24"/>
                <w:bdr w:val="none" w:sz="0" w:space="0" w:color="auto" w:frame="1"/>
              </w:rPr>
              <w:t>和卡塔尔石油</w:t>
            </w:r>
            <w:r w:rsidR="00D91F78">
              <w:rPr>
                <w:rFonts w:ascii="Times New Roman" w:hAnsi="Times New Roman" w:hint="eastAsia"/>
                <w:color w:val="333333"/>
                <w:kern w:val="0"/>
                <w:sz w:val="24"/>
                <w:szCs w:val="24"/>
                <w:bdr w:val="none" w:sz="0" w:space="0" w:color="auto" w:frame="1"/>
              </w:rPr>
              <w:t>持股</w:t>
            </w:r>
            <w:r w:rsidRPr="00567E25">
              <w:rPr>
                <w:rFonts w:ascii="Times New Roman" w:hAnsi="Times New Roman" w:hint="eastAsia"/>
                <w:color w:val="333333"/>
                <w:kern w:val="0"/>
                <w:sz w:val="24"/>
                <w:szCs w:val="24"/>
                <w:bdr w:val="none" w:sz="0" w:space="0" w:color="auto" w:frame="1"/>
              </w:rPr>
              <w:t>70</w:t>
            </w:r>
            <w:r w:rsidR="008A300C" w:rsidRPr="00567E25">
              <w:rPr>
                <w:rFonts w:ascii="Times New Roman" w:hAnsi="Times New Roman" w:hint="eastAsia"/>
                <w:color w:val="333333"/>
                <w:kern w:val="0"/>
                <w:sz w:val="24"/>
                <w:szCs w:val="24"/>
                <w:bdr w:val="none" w:sz="0" w:space="0" w:color="auto" w:frame="1"/>
              </w:rPr>
              <w:t>%</w:t>
            </w:r>
            <w:r w:rsidR="00D91F78">
              <w:rPr>
                <w:rFonts w:ascii="Times New Roman" w:hAnsi="Times New Roman" w:hint="eastAsia"/>
                <w:color w:val="333333"/>
                <w:kern w:val="0"/>
                <w:sz w:val="24"/>
                <w:szCs w:val="24"/>
                <w:bdr w:val="none" w:sz="0" w:space="0" w:color="auto" w:frame="1"/>
              </w:rPr>
              <w:t>，最终由</w:t>
            </w:r>
            <w:r w:rsidR="00D91F78" w:rsidRPr="00567E25">
              <w:rPr>
                <w:rFonts w:ascii="Times New Roman" w:hAnsi="Times New Roman" w:hint="eastAsia"/>
                <w:color w:val="333333"/>
                <w:kern w:val="0"/>
                <w:sz w:val="24"/>
                <w:szCs w:val="24"/>
                <w:bdr w:val="none" w:sz="0" w:space="0" w:color="auto" w:frame="1"/>
              </w:rPr>
              <w:t>埃克森美孚</w:t>
            </w:r>
            <w:r w:rsidR="00D91F78">
              <w:rPr>
                <w:rFonts w:ascii="Times New Roman" w:hAnsi="Times New Roman" w:hint="eastAsia"/>
                <w:color w:val="333333"/>
                <w:kern w:val="0"/>
                <w:sz w:val="24"/>
                <w:szCs w:val="24"/>
                <w:bdr w:val="none" w:sz="0" w:space="0" w:color="auto" w:frame="1"/>
              </w:rPr>
              <w:t>和</w:t>
            </w:r>
            <w:r w:rsidR="00D91F78" w:rsidRPr="00567E25">
              <w:rPr>
                <w:rFonts w:ascii="Times New Roman" w:hAnsi="Times New Roman" w:hint="eastAsia"/>
                <w:color w:val="333333"/>
                <w:kern w:val="0"/>
                <w:sz w:val="24"/>
                <w:szCs w:val="24"/>
                <w:bdr w:val="none" w:sz="0" w:space="0" w:color="auto" w:frame="1"/>
              </w:rPr>
              <w:t>卡塔尔石油</w:t>
            </w:r>
            <w:r w:rsidR="00D91F78">
              <w:rPr>
                <w:rFonts w:ascii="Times New Roman" w:hAnsi="Times New Roman" w:hint="eastAsia"/>
                <w:color w:val="333333"/>
                <w:kern w:val="0"/>
                <w:sz w:val="24"/>
                <w:szCs w:val="24"/>
                <w:bdr w:val="none" w:sz="0" w:space="0" w:color="auto" w:frame="1"/>
              </w:rPr>
              <w:t>进行</w:t>
            </w:r>
            <w:r w:rsidRPr="00567E25">
              <w:rPr>
                <w:rFonts w:ascii="Times New Roman" w:hAnsi="Times New Roman" w:hint="eastAsia"/>
                <w:color w:val="333333"/>
                <w:kern w:val="0"/>
                <w:sz w:val="24"/>
                <w:szCs w:val="24"/>
                <w:bdr w:val="none" w:sz="0" w:space="0" w:color="auto" w:frame="1"/>
              </w:rPr>
              <w:t>共同控制。</w:t>
            </w:r>
          </w:p>
        </w:tc>
      </w:tr>
      <w:tr w:rsidR="00CB00DF" w:rsidRPr="00567E25" w:rsidTr="00CB00DF">
        <w:trPr>
          <w:trHeight w:val="468"/>
        </w:trPr>
        <w:tc>
          <w:tcPr>
            <w:tcW w:w="1809" w:type="dxa"/>
            <w:vMerge w:val="restart"/>
            <w:shd w:val="clear" w:color="auto" w:fill="D9D9D9"/>
            <w:vAlign w:val="center"/>
          </w:tcPr>
          <w:p w:rsidR="00F1624E" w:rsidRPr="00567E25" w:rsidRDefault="00CB00DF" w:rsidP="00CB00DF">
            <w:pPr>
              <w:spacing w:line="500" w:lineRule="exact"/>
              <w:jc w:val="center"/>
              <w:rPr>
                <w:rFonts w:ascii="Times New Roman" w:hAnsi="Times New Roman"/>
                <w:b/>
                <w:color w:val="333333"/>
                <w:kern w:val="0"/>
                <w:sz w:val="24"/>
                <w:szCs w:val="24"/>
                <w:bdr w:val="none" w:sz="0" w:space="0" w:color="auto" w:frame="1"/>
              </w:rPr>
            </w:pPr>
            <w:r w:rsidRPr="00567E25">
              <w:rPr>
                <w:rFonts w:ascii="Times New Roman" w:hAnsi="Times New Roman"/>
                <w:b/>
                <w:color w:val="333333"/>
                <w:kern w:val="0"/>
                <w:sz w:val="24"/>
                <w:szCs w:val="24"/>
                <w:bdr w:val="none" w:sz="0" w:space="0" w:color="auto" w:frame="1"/>
              </w:rPr>
              <w:t>参与集中的</w:t>
            </w:r>
          </w:p>
          <w:p w:rsidR="00CB00DF" w:rsidRPr="00567E25" w:rsidRDefault="00CB00DF" w:rsidP="00CB00DF">
            <w:pPr>
              <w:spacing w:line="500" w:lineRule="exact"/>
              <w:jc w:val="center"/>
              <w:rPr>
                <w:rFonts w:ascii="Times New Roman" w:hAnsi="Times New Roman"/>
                <w:b/>
                <w:color w:val="333333"/>
                <w:kern w:val="0"/>
                <w:sz w:val="24"/>
                <w:szCs w:val="24"/>
                <w:bdr w:val="none" w:sz="0" w:space="0" w:color="auto" w:frame="1"/>
              </w:rPr>
            </w:pPr>
            <w:r w:rsidRPr="00567E25">
              <w:rPr>
                <w:rFonts w:ascii="Times New Roman" w:hAnsi="Times New Roman"/>
                <w:b/>
                <w:color w:val="333333"/>
                <w:kern w:val="0"/>
                <w:sz w:val="24"/>
                <w:szCs w:val="24"/>
                <w:bdr w:val="none" w:sz="0" w:space="0" w:color="auto" w:frame="1"/>
              </w:rPr>
              <w:t>经营者简介</w:t>
            </w:r>
          </w:p>
        </w:tc>
        <w:tc>
          <w:tcPr>
            <w:tcW w:w="1796" w:type="dxa"/>
          </w:tcPr>
          <w:p w:rsidR="00CB00DF" w:rsidRPr="00567E25" w:rsidRDefault="00CB00DF" w:rsidP="006908A4">
            <w:pPr>
              <w:spacing w:line="500" w:lineRule="exact"/>
              <w:rPr>
                <w:rFonts w:ascii="Times New Roman" w:hAnsi="Times New Roman"/>
                <w:color w:val="333333"/>
                <w:kern w:val="0"/>
                <w:sz w:val="24"/>
                <w:szCs w:val="24"/>
                <w:bdr w:val="none" w:sz="0" w:space="0" w:color="auto" w:frame="1"/>
              </w:rPr>
            </w:pPr>
            <w:r w:rsidRPr="00567E25">
              <w:rPr>
                <w:rFonts w:ascii="Times New Roman" w:hAnsi="Times New Roman"/>
                <w:color w:val="333333"/>
                <w:kern w:val="0"/>
                <w:sz w:val="24"/>
                <w:szCs w:val="24"/>
                <w:bdr w:val="none" w:sz="0" w:space="0" w:color="auto" w:frame="1"/>
              </w:rPr>
              <w:t>1</w:t>
            </w:r>
            <w:r w:rsidRPr="00567E25">
              <w:rPr>
                <w:rFonts w:ascii="Times New Roman" w:hAnsi="Times New Roman"/>
                <w:color w:val="333333"/>
                <w:kern w:val="0"/>
                <w:sz w:val="24"/>
                <w:szCs w:val="24"/>
                <w:bdr w:val="none" w:sz="0" w:space="0" w:color="auto" w:frame="1"/>
              </w:rPr>
              <w:t>、</w:t>
            </w:r>
            <w:r w:rsidR="00EA3A17" w:rsidRPr="00567E25">
              <w:rPr>
                <w:rFonts w:ascii="Times New Roman" w:hAnsi="Times New Roman" w:hint="eastAsia"/>
                <w:color w:val="333333"/>
                <w:kern w:val="0"/>
                <w:sz w:val="24"/>
                <w:szCs w:val="24"/>
                <w:bdr w:val="none" w:sz="0" w:space="0" w:color="auto" w:frame="1"/>
              </w:rPr>
              <w:t>埃克森美孚</w:t>
            </w:r>
          </w:p>
        </w:tc>
        <w:tc>
          <w:tcPr>
            <w:tcW w:w="5153" w:type="dxa"/>
          </w:tcPr>
          <w:p w:rsidR="00CB00DF" w:rsidRPr="00567E25" w:rsidRDefault="00A31D35" w:rsidP="006908A4">
            <w:pPr>
              <w:spacing w:line="500" w:lineRule="exact"/>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埃克森美孚在全球范围内从事</w:t>
            </w:r>
            <w:r w:rsidR="00EA3A17" w:rsidRPr="00567E25">
              <w:rPr>
                <w:rFonts w:ascii="Times New Roman" w:hAnsi="Times New Roman" w:hint="eastAsia"/>
                <w:color w:val="333333"/>
                <w:kern w:val="0"/>
                <w:sz w:val="24"/>
                <w:szCs w:val="24"/>
                <w:bdr w:val="none" w:sz="0" w:space="0" w:color="auto" w:frame="1"/>
              </w:rPr>
              <w:t>原油和天然气的勘探、开发、生产和销售，石油精炼产品的精炼和销售，各种化工产品的开发、生产和销售，润滑油和特种产品的销售，以及发电。</w:t>
            </w:r>
          </w:p>
        </w:tc>
      </w:tr>
      <w:tr w:rsidR="00EA3A17" w:rsidRPr="00567E25" w:rsidTr="00EA3A17">
        <w:trPr>
          <w:trHeight w:val="543"/>
        </w:trPr>
        <w:tc>
          <w:tcPr>
            <w:tcW w:w="1809" w:type="dxa"/>
            <w:vMerge/>
            <w:shd w:val="clear" w:color="auto" w:fill="D9D9D9"/>
            <w:vAlign w:val="center"/>
          </w:tcPr>
          <w:p w:rsidR="00EA3A17" w:rsidRPr="00567E25" w:rsidRDefault="00EA3A17" w:rsidP="00CB00DF">
            <w:pPr>
              <w:spacing w:line="500" w:lineRule="exact"/>
              <w:jc w:val="center"/>
              <w:rPr>
                <w:rFonts w:ascii="Times New Roman" w:hAnsi="Times New Roman"/>
                <w:b/>
                <w:color w:val="333333"/>
                <w:kern w:val="0"/>
                <w:sz w:val="24"/>
                <w:szCs w:val="24"/>
                <w:bdr w:val="none" w:sz="0" w:space="0" w:color="auto" w:frame="1"/>
              </w:rPr>
            </w:pPr>
          </w:p>
        </w:tc>
        <w:tc>
          <w:tcPr>
            <w:tcW w:w="1796" w:type="dxa"/>
          </w:tcPr>
          <w:p w:rsidR="00EA3A17" w:rsidRPr="00567E25" w:rsidRDefault="00EA3A17" w:rsidP="006908A4">
            <w:pPr>
              <w:spacing w:line="500" w:lineRule="exact"/>
              <w:rPr>
                <w:rFonts w:ascii="Times New Roman" w:hAnsi="Times New Roman"/>
                <w:color w:val="333333"/>
                <w:kern w:val="0"/>
                <w:sz w:val="24"/>
                <w:szCs w:val="24"/>
                <w:bdr w:val="none" w:sz="0" w:space="0" w:color="auto" w:frame="1"/>
              </w:rPr>
            </w:pPr>
            <w:r w:rsidRPr="00567E25">
              <w:rPr>
                <w:rFonts w:ascii="Times New Roman" w:hAnsi="Times New Roman"/>
                <w:color w:val="333333"/>
                <w:kern w:val="0"/>
                <w:sz w:val="24"/>
                <w:szCs w:val="24"/>
                <w:bdr w:val="none" w:sz="0" w:space="0" w:color="auto" w:frame="1"/>
              </w:rPr>
              <w:t>2</w:t>
            </w:r>
            <w:r w:rsidRPr="00567E25">
              <w:rPr>
                <w:rFonts w:ascii="Times New Roman" w:hAnsi="Times New Roman"/>
                <w:color w:val="333333"/>
                <w:kern w:val="0"/>
                <w:sz w:val="24"/>
                <w:szCs w:val="24"/>
                <w:bdr w:val="none" w:sz="0" w:space="0" w:color="auto" w:frame="1"/>
              </w:rPr>
              <w:t>、</w:t>
            </w:r>
            <w:r w:rsidRPr="00567E25">
              <w:rPr>
                <w:rFonts w:ascii="Times New Roman" w:hAnsi="Times New Roman" w:hint="eastAsia"/>
                <w:color w:val="333333"/>
                <w:kern w:val="0"/>
                <w:sz w:val="24"/>
                <w:szCs w:val="24"/>
                <w:bdr w:val="none" w:sz="0" w:space="0" w:color="auto" w:frame="1"/>
              </w:rPr>
              <w:t>卡塔尔石油</w:t>
            </w:r>
          </w:p>
        </w:tc>
        <w:tc>
          <w:tcPr>
            <w:tcW w:w="5153" w:type="dxa"/>
          </w:tcPr>
          <w:p w:rsidR="00EA3A17" w:rsidRPr="00567E25" w:rsidRDefault="006253ED" w:rsidP="006908A4">
            <w:pPr>
              <w:spacing w:line="500" w:lineRule="exact"/>
              <w:rPr>
                <w:rFonts w:ascii="Times New Roman" w:hAnsi="Times New Roman"/>
                <w:color w:val="333333"/>
                <w:kern w:val="0"/>
                <w:sz w:val="24"/>
                <w:szCs w:val="24"/>
                <w:bdr w:val="none" w:sz="0" w:space="0" w:color="auto" w:frame="1"/>
              </w:rPr>
            </w:pPr>
            <w:r w:rsidRPr="00567E25">
              <w:rPr>
                <w:rFonts w:ascii="Times New Roman" w:hAnsi="Times New Roman" w:hint="eastAsia"/>
                <w:color w:val="333333"/>
                <w:kern w:val="0"/>
                <w:sz w:val="24"/>
                <w:szCs w:val="24"/>
                <w:bdr w:val="none" w:sz="0" w:space="0" w:color="auto" w:frame="1"/>
              </w:rPr>
              <w:t>卡塔尔石油是由卡塔尔国全资持有的公司。卡塔尔石油在全球从事原油、精炼产品、液化天然气、石油化工和肥料的开采、钻进和生产。卡塔尔石油和其关联实体的经营和业务活动在不同的陆上区域开展，包括多哈、杜汉、梅萨伊德和拉斯拉凡工业城市开展，也在不同的海上区域开展，包括哈鲁尔岛、海上采油站、钻井平台及北部油田。</w:t>
            </w:r>
          </w:p>
        </w:tc>
      </w:tr>
      <w:tr w:rsidR="00CB00DF" w:rsidRPr="00567E25" w:rsidTr="00CB00DF">
        <w:trPr>
          <w:trHeight w:val="279"/>
        </w:trPr>
        <w:tc>
          <w:tcPr>
            <w:tcW w:w="1809" w:type="dxa"/>
            <w:vMerge w:val="restart"/>
            <w:shd w:val="clear" w:color="auto" w:fill="D9D9D9"/>
            <w:vAlign w:val="center"/>
          </w:tcPr>
          <w:p w:rsidR="00CB00DF" w:rsidRPr="00567E25" w:rsidRDefault="00CB00DF" w:rsidP="00CB00DF">
            <w:pPr>
              <w:spacing w:line="500" w:lineRule="exact"/>
              <w:jc w:val="center"/>
              <w:rPr>
                <w:rFonts w:ascii="Times New Roman" w:hAnsi="Times New Roman"/>
                <w:b/>
                <w:color w:val="333333"/>
                <w:kern w:val="0"/>
                <w:sz w:val="24"/>
                <w:szCs w:val="24"/>
                <w:bdr w:val="none" w:sz="0" w:space="0" w:color="auto" w:frame="1"/>
              </w:rPr>
            </w:pPr>
            <w:r w:rsidRPr="00567E25">
              <w:rPr>
                <w:rFonts w:ascii="Times New Roman" w:hAnsi="Times New Roman"/>
                <w:b/>
                <w:color w:val="333333"/>
                <w:kern w:val="0"/>
                <w:sz w:val="24"/>
                <w:szCs w:val="24"/>
                <w:bdr w:val="none" w:sz="0" w:space="0" w:color="auto" w:frame="1"/>
              </w:rPr>
              <w:t>简易案件理由（可以单选，也可以多选）</w:t>
            </w:r>
          </w:p>
        </w:tc>
        <w:tc>
          <w:tcPr>
            <w:tcW w:w="6949" w:type="dxa"/>
            <w:gridSpan w:val="2"/>
          </w:tcPr>
          <w:p w:rsidR="00CB00DF" w:rsidRPr="00567E25" w:rsidRDefault="006253ED" w:rsidP="006908A4">
            <w:pPr>
              <w:spacing w:line="500" w:lineRule="exact"/>
              <w:rPr>
                <w:rFonts w:ascii="Times New Roman" w:hAnsi="Times New Roman"/>
                <w:color w:val="333333"/>
                <w:kern w:val="0"/>
                <w:sz w:val="24"/>
                <w:szCs w:val="24"/>
                <w:bdr w:val="none" w:sz="0" w:space="0" w:color="auto" w:frame="1"/>
              </w:rPr>
            </w:pPr>
            <w:r w:rsidRPr="00567E25">
              <w:rPr>
                <w:sz w:val="24"/>
                <w:szCs w:val="24"/>
              </w:rPr>
              <w:sym w:font="Wingdings" w:char="F0FE"/>
            </w:r>
            <w:r w:rsidR="00CB00DF" w:rsidRPr="00567E25">
              <w:rPr>
                <w:rFonts w:ascii="Times New Roman" w:hAnsi="Times New Roman"/>
                <w:color w:val="333333"/>
                <w:kern w:val="0"/>
                <w:sz w:val="24"/>
                <w:szCs w:val="24"/>
                <w:bdr w:val="none" w:sz="0" w:space="0" w:color="auto" w:frame="1"/>
              </w:rPr>
              <w:t>1.</w:t>
            </w:r>
            <w:r w:rsidR="00CB00DF" w:rsidRPr="00567E25">
              <w:rPr>
                <w:rFonts w:ascii="Times New Roman" w:hAnsi="Times New Roman"/>
                <w:color w:val="333333"/>
                <w:kern w:val="0"/>
                <w:sz w:val="24"/>
                <w:szCs w:val="24"/>
                <w:bdr w:val="none" w:sz="0" w:space="0" w:color="auto" w:frame="1"/>
              </w:rPr>
              <w:t>在同一相关市场，所有参与集中的经营者所占市场份额之和小于</w:t>
            </w:r>
            <w:r w:rsidR="00CB00DF" w:rsidRPr="00567E25">
              <w:rPr>
                <w:rFonts w:ascii="Times New Roman" w:hAnsi="Times New Roman"/>
                <w:color w:val="333333"/>
                <w:kern w:val="0"/>
                <w:sz w:val="24"/>
                <w:szCs w:val="24"/>
                <w:bdr w:val="none" w:sz="0" w:space="0" w:color="auto" w:frame="1"/>
              </w:rPr>
              <w:t>15%</w:t>
            </w:r>
            <w:r w:rsidR="00CB00DF" w:rsidRPr="00567E25">
              <w:rPr>
                <w:rFonts w:ascii="Times New Roman" w:hAnsi="Times New Roman"/>
                <w:color w:val="333333"/>
                <w:kern w:val="0"/>
                <w:sz w:val="24"/>
                <w:szCs w:val="24"/>
                <w:bdr w:val="none" w:sz="0" w:space="0" w:color="auto" w:frame="1"/>
              </w:rPr>
              <w:t>。</w:t>
            </w:r>
          </w:p>
        </w:tc>
      </w:tr>
      <w:tr w:rsidR="00CB00DF" w:rsidRPr="00567E25" w:rsidTr="00CB00DF">
        <w:trPr>
          <w:trHeight w:val="330"/>
        </w:trPr>
        <w:tc>
          <w:tcPr>
            <w:tcW w:w="1809" w:type="dxa"/>
            <w:vMerge/>
            <w:shd w:val="clear" w:color="auto" w:fill="D9D9D9"/>
            <w:vAlign w:val="center"/>
          </w:tcPr>
          <w:p w:rsidR="00CB00DF" w:rsidRPr="00567E25" w:rsidRDefault="00CB00DF" w:rsidP="00CB00DF">
            <w:pPr>
              <w:spacing w:line="500" w:lineRule="exact"/>
              <w:jc w:val="center"/>
              <w:rPr>
                <w:rFonts w:ascii="Times New Roman" w:hAnsi="Times New Roman"/>
                <w:b/>
                <w:color w:val="333333"/>
                <w:kern w:val="0"/>
                <w:sz w:val="24"/>
                <w:szCs w:val="24"/>
                <w:bdr w:val="none" w:sz="0" w:space="0" w:color="auto" w:frame="1"/>
              </w:rPr>
            </w:pPr>
          </w:p>
        </w:tc>
        <w:tc>
          <w:tcPr>
            <w:tcW w:w="6949" w:type="dxa"/>
            <w:gridSpan w:val="2"/>
          </w:tcPr>
          <w:p w:rsidR="00CB00DF" w:rsidRPr="00567E25" w:rsidRDefault="00CB00DF" w:rsidP="006908A4">
            <w:pPr>
              <w:spacing w:line="500" w:lineRule="exact"/>
              <w:rPr>
                <w:rFonts w:ascii="Times New Roman" w:hAnsi="Times New Roman"/>
                <w:color w:val="333333"/>
                <w:kern w:val="0"/>
                <w:sz w:val="24"/>
                <w:szCs w:val="24"/>
                <w:bdr w:val="none" w:sz="0" w:space="0" w:color="auto" w:frame="1"/>
              </w:rPr>
            </w:pPr>
            <w:r w:rsidRPr="00567E25">
              <w:rPr>
                <w:rFonts w:ascii="Times New Roman" w:hAnsi="Times New Roman"/>
                <w:color w:val="333333"/>
                <w:kern w:val="0"/>
                <w:sz w:val="24"/>
                <w:szCs w:val="24"/>
                <w:bdr w:val="none" w:sz="0" w:space="0" w:color="auto" w:frame="1"/>
              </w:rPr>
              <w:t>□2.</w:t>
            </w:r>
            <w:r w:rsidRPr="00567E25">
              <w:rPr>
                <w:rFonts w:ascii="Times New Roman" w:hAnsi="Times New Roman"/>
                <w:color w:val="333333"/>
                <w:kern w:val="0"/>
                <w:sz w:val="24"/>
                <w:szCs w:val="24"/>
                <w:bdr w:val="none" w:sz="0" w:space="0" w:color="auto" w:frame="1"/>
              </w:rPr>
              <w:t>存在上下游关系的参与集中的经营者，在上下游市场所占的市场份额均小于</w:t>
            </w:r>
            <w:r w:rsidRPr="00567E25">
              <w:rPr>
                <w:rFonts w:ascii="Times New Roman" w:hAnsi="Times New Roman"/>
                <w:color w:val="333333"/>
                <w:kern w:val="0"/>
                <w:sz w:val="24"/>
                <w:szCs w:val="24"/>
                <w:bdr w:val="none" w:sz="0" w:space="0" w:color="auto" w:frame="1"/>
              </w:rPr>
              <w:t>25%</w:t>
            </w:r>
            <w:r w:rsidRPr="00567E25">
              <w:rPr>
                <w:rFonts w:ascii="Times New Roman" w:hAnsi="Times New Roman"/>
                <w:color w:val="333333"/>
                <w:kern w:val="0"/>
                <w:sz w:val="24"/>
                <w:szCs w:val="24"/>
                <w:bdr w:val="none" w:sz="0" w:space="0" w:color="auto" w:frame="1"/>
              </w:rPr>
              <w:t>。</w:t>
            </w:r>
          </w:p>
        </w:tc>
      </w:tr>
      <w:tr w:rsidR="00CB00DF" w:rsidRPr="00567E25" w:rsidTr="00CB00DF">
        <w:trPr>
          <w:trHeight w:val="285"/>
        </w:trPr>
        <w:tc>
          <w:tcPr>
            <w:tcW w:w="1809" w:type="dxa"/>
            <w:vMerge/>
            <w:shd w:val="clear" w:color="auto" w:fill="D9D9D9"/>
            <w:vAlign w:val="center"/>
          </w:tcPr>
          <w:p w:rsidR="00CB00DF" w:rsidRPr="00567E25" w:rsidRDefault="00CB00DF" w:rsidP="00CB00DF">
            <w:pPr>
              <w:spacing w:line="500" w:lineRule="exact"/>
              <w:jc w:val="center"/>
              <w:rPr>
                <w:rFonts w:ascii="Times New Roman" w:hAnsi="Times New Roman"/>
                <w:b/>
                <w:color w:val="333333"/>
                <w:kern w:val="0"/>
                <w:sz w:val="24"/>
                <w:szCs w:val="24"/>
                <w:bdr w:val="none" w:sz="0" w:space="0" w:color="auto" w:frame="1"/>
              </w:rPr>
            </w:pPr>
          </w:p>
        </w:tc>
        <w:tc>
          <w:tcPr>
            <w:tcW w:w="6949" w:type="dxa"/>
            <w:gridSpan w:val="2"/>
          </w:tcPr>
          <w:p w:rsidR="00CB00DF" w:rsidRPr="00567E25" w:rsidRDefault="00CB00DF" w:rsidP="006908A4">
            <w:pPr>
              <w:spacing w:line="500" w:lineRule="exact"/>
              <w:rPr>
                <w:rFonts w:ascii="Times New Roman" w:hAnsi="Times New Roman"/>
                <w:color w:val="333333"/>
                <w:kern w:val="0"/>
                <w:sz w:val="24"/>
                <w:szCs w:val="24"/>
                <w:bdr w:val="none" w:sz="0" w:space="0" w:color="auto" w:frame="1"/>
              </w:rPr>
            </w:pPr>
            <w:r w:rsidRPr="00567E25">
              <w:rPr>
                <w:rFonts w:ascii="Times New Roman" w:hAnsi="Times New Roman"/>
                <w:color w:val="333333"/>
                <w:kern w:val="0"/>
                <w:sz w:val="24"/>
                <w:szCs w:val="24"/>
                <w:bdr w:val="none" w:sz="0" w:space="0" w:color="auto" w:frame="1"/>
              </w:rPr>
              <w:t>□3.</w:t>
            </w:r>
            <w:r w:rsidRPr="00567E25">
              <w:rPr>
                <w:rFonts w:ascii="Times New Roman" w:hAnsi="Times New Roman"/>
                <w:color w:val="333333"/>
                <w:kern w:val="0"/>
                <w:sz w:val="24"/>
                <w:szCs w:val="24"/>
                <w:bdr w:val="none" w:sz="0" w:space="0" w:color="auto" w:frame="1"/>
              </w:rPr>
              <w:t>不在同一相关市场、也不存在上下游关系的参与集中的经营者，在与交易有关的每个市场所占的份额均小于</w:t>
            </w:r>
            <w:r w:rsidRPr="00567E25">
              <w:rPr>
                <w:rFonts w:ascii="Times New Roman" w:hAnsi="Times New Roman"/>
                <w:color w:val="333333"/>
                <w:kern w:val="0"/>
                <w:sz w:val="24"/>
                <w:szCs w:val="24"/>
                <w:bdr w:val="none" w:sz="0" w:space="0" w:color="auto" w:frame="1"/>
              </w:rPr>
              <w:t>25%</w:t>
            </w:r>
            <w:r w:rsidRPr="00567E25">
              <w:rPr>
                <w:rFonts w:ascii="Times New Roman" w:hAnsi="Times New Roman"/>
                <w:color w:val="333333"/>
                <w:kern w:val="0"/>
                <w:sz w:val="24"/>
                <w:szCs w:val="24"/>
                <w:bdr w:val="none" w:sz="0" w:space="0" w:color="auto" w:frame="1"/>
              </w:rPr>
              <w:t>。</w:t>
            </w:r>
          </w:p>
        </w:tc>
      </w:tr>
      <w:tr w:rsidR="00CB00DF" w:rsidRPr="00567E25" w:rsidTr="00CB00DF">
        <w:trPr>
          <w:trHeight w:val="870"/>
        </w:trPr>
        <w:tc>
          <w:tcPr>
            <w:tcW w:w="1809" w:type="dxa"/>
            <w:vMerge/>
            <w:shd w:val="clear" w:color="auto" w:fill="D9D9D9"/>
            <w:vAlign w:val="center"/>
          </w:tcPr>
          <w:p w:rsidR="00CB00DF" w:rsidRPr="00567E25" w:rsidRDefault="00CB00DF" w:rsidP="00CB00DF">
            <w:pPr>
              <w:spacing w:line="500" w:lineRule="exact"/>
              <w:jc w:val="center"/>
              <w:rPr>
                <w:rFonts w:ascii="Times New Roman" w:hAnsi="Times New Roman"/>
                <w:b/>
                <w:color w:val="333333"/>
                <w:kern w:val="0"/>
                <w:sz w:val="24"/>
                <w:szCs w:val="24"/>
                <w:bdr w:val="none" w:sz="0" w:space="0" w:color="auto" w:frame="1"/>
              </w:rPr>
            </w:pPr>
          </w:p>
        </w:tc>
        <w:tc>
          <w:tcPr>
            <w:tcW w:w="6949" w:type="dxa"/>
            <w:gridSpan w:val="2"/>
          </w:tcPr>
          <w:p w:rsidR="00CB00DF" w:rsidRPr="00567E25" w:rsidRDefault="00CB00DF" w:rsidP="006908A4">
            <w:pPr>
              <w:spacing w:line="500" w:lineRule="exact"/>
              <w:rPr>
                <w:rFonts w:ascii="Times New Roman" w:hAnsi="Times New Roman"/>
                <w:color w:val="333333"/>
                <w:kern w:val="0"/>
                <w:sz w:val="24"/>
                <w:szCs w:val="24"/>
                <w:bdr w:val="none" w:sz="0" w:space="0" w:color="auto" w:frame="1"/>
              </w:rPr>
            </w:pPr>
            <w:r w:rsidRPr="00567E25">
              <w:rPr>
                <w:rFonts w:ascii="Times New Roman" w:hAnsi="Times New Roman"/>
                <w:color w:val="333333"/>
                <w:kern w:val="0"/>
                <w:sz w:val="24"/>
                <w:szCs w:val="24"/>
                <w:bdr w:val="none" w:sz="0" w:space="0" w:color="auto" w:frame="1"/>
              </w:rPr>
              <w:t>□4.</w:t>
            </w:r>
            <w:r w:rsidRPr="00567E25">
              <w:rPr>
                <w:rFonts w:ascii="Times New Roman" w:hAnsi="Times New Roman"/>
                <w:color w:val="333333"/>
                <w:kern w:val="0"/>
                <w:sz w:val="24"/>
                <w:szCs w:val="24"/>
                <w:bdr w:val="none" w:sz="0" w:space="0" w:color="auto" w:frame="1"/>
              </w:rPr>
              <w:t>参与集中的经营者在中国境外设立合营企业，合营企业不在中国境内从事经济活动。</w:t>
            </w:r>
          </w:p>
        </w:tc>
      </w:tr>
      <w:tr w:rsidR="00CB00DF" w:rsidRPr="00567E25" w:rsidTr="00CB00DF">
        <w:trPr>
          <w:trHeight w:val="264"/>
        </w:trPr>
        <w:tc>
          <w:tcPr>
            <w:tcW w:w="1809" w:type="dxa"/>
            <w:vMerge/>
            <w:shd w:val="clear" w:color="auto" w:fill="D9D9D9"/>
            <w:vAlign w:val="center"/>
          </w:tcPr>
          <w:p w:rsidR="00CB00DF" w:rsidRPr="00567E25" w:rsidRDefault="00CB00DF" w:rsidP="00CB00DF">
            <w:pPr>
              <w:spacing w:line="500" w:lineRule="exact"/>
              <w:jc w:val="center"/>
              <w:rPr>
                <w:rFonts w:ascii="Times New Roman" w:hAnsi="Times New Roman"/>
                <w:b/>
                <w:color w:val="333333"/>
                <w:kern w:val="0"/>
                <w:sz w:val="24"/>
                <w:szCs w:val="24"/>
                <w:bdr w:val="none" w:sz="0" w:space="0" w:color="auto" w:frame="1"/>
              </w:rPr>
            </w:pPr>
          </w:p>
        </w:tc>
        <w:tc>
          <w:tcPr>
            <w:tcW w:w="6949" w:type="dxa"/>
            <w:gridSpan w:val="2"/>
          </w:tcPr>
          <w:p w:rsidR="00CB00DF" w:rsidRPr="00567E25" w:rsidRDefault="00CB00DF" w:rsidP="006908A4">
            <w:pPr>
              <w:spacing w:line="500" w:lineRule="exact"/>
              <w:rPr>
                <w:rFonts w:ascii="Times New Roman" w:hAnsi="Times New Roman"/>
                <w:color w:val="333333"/>
                <w:kern w:val="0"/>
                <w:sz w:val="24"/>
                <w:szCs w:val="24"/>
                <w:bdr w:val="none" w:sz="0" w:space="0" w:color="auto" w:frame="1"/>
              </w:rPr>
            </w:pPr>
            <w:r w:rsidRPr="00567E25">
              <w:rPr>
                <w:rFonts w:ascii="Times New Roman" w:hAnsi="Times New Roman"/>
                <w:color w:val="333333"/>
                <w:kern w:val="0"/>
                <w:sz w:val="24"/>
                <w:szCs w:val="24"/>
                <w:bdr w:val="none" w:sz="0" w:space="0" w:color="auto" w:frame="1"/>
              </w:rPr>
              <w:t>□5.</w:t>
            </w:r>
            <w:r w:rsidRPr="00567E25">
              <w:rPr>
                <w:rFonts w:ascii="Times New Roman" w:hAnsi="Times New Roman"/>
                <w:color w:val="333333"/>
                <w:kern w:val="0"/>
                <w:sz w:val="24"/>
                <w:szCs w:val="24"/>
                <w:bdr w:val="none" w:sz="0" w:space="0" w:color="auto" w:frame="1"/>
              </w:rPr>
              <w:t>参与集中的经营者收购境外企业股权或资产的，该境外企业不在中国境内从事经济活动。</w:t>
            </w:r>
          </w:p>
        </w:tc>
      </w:tr>
      <w:tr w:rsidR="00CB00DF" w:rsidRPr="00567E25" w:rsidTr="00CB00DF">
        <w:trPr>
          <w:trHeight w:val="345"/>
        </w:trPr>
        <w:tc>
          <w:tcPr>
            <w:tcW w:w="1809" w:type="dxa"/>
            <w:vMerge/>
            <w:shd w:val="clear" w:color="auto" w:fill="D9D9D9"/>
            <w:vAlign w:val="center"/>
          </w:tcPr>
          <w:p w:rsidR="00CB00DF" w:rsidRPr="00567E25" w:rsidRDefault="00CB00DF" w:rsidP="00CB00DF">
            <w:pPr>
              <w:spacing w:line="500" w:lineRule="exact"/>
              <w:jc w:val="center"/>
              <w:rPr>
                <w:rFonts w:ascii="Times New Roman" w:hAnsi="Times New Roman"/>
                <w:b/>
                <w:color w:val="333333"/>
                <w:kern w:val="0"/>
                <w:sz w:val="24"/>
                <w:szCs w:val="24"/>
                <w:bdr w:val="none" w:sz="0" w:space="0" w:color="auto" w:frame="1"/>
              </w:rPr>
            </w:pPr>
          </w:p>
        </w:tc>
        <w:tc>
          <w:tcPr>
            <w:tcW w:w="6949" w:type="dxa"/>
            <w:gridSpan w:val="2"/>
          </w:tcPr>
          <w:p w:rsidR="00CB00DF" w:rsidRPr="00567E25" w:rsidRDefault="006253ED" w:rsidP="006908A4">
            <w:pPr>
              <w:spacing w:line="500" w:lineRule="exact"/>
              <w:rPr>
                <w:rFonts w:ascii="Times New Roman" w:hAnsi="Times New Roman"/>
                <w:color w:val="333333"/>
                <w:kern w:val="0"/>
                <w:sz w:val="24"/>
                <w:szCs w:val="24"/>
                <w:bdr w:val="none" w:sz="0" w:space="0" w:color="auto" w:frame="1"/>
              </w:rPr>
            </w:pPr>
            <w:r w:rsidRPr="00567E25">
              <w:rPr>
                <w:sz w:val="24"/>
                <w:szCs w:val="24"/>
              </w:rPr>
              <w:sym w:font="Wingdings" w:char="F0FE"/>
            </w:r>
            <w:r w:rsidR="00CB00DF" w:rsidRPr="00567E25">
              <w:rPr>
                <w:rFonts w:ascii="Times New Roman" w:hAnsi="Times New Roman"/>
                <w:color w:val="333333"/>
                <w:kern w:val="0"/>
                <w:sz w:val="24"/>
                <w:szCs w:val="24"/>
                <w:bdr w:val="none" w:sz="0" w:space="0" w:color="auto" w:frame="1"/>
              </w:rPr>
              <w:t>6.</w:t>
            </w:r>
            <w:r w:rsidR="00CB00DF" w:rsidRPr="00567E25">
              <w:rPr>
                <w:rFonts w:ascii="Times New Roman" w:hAnsi="Times New Roman"/>
                <w:color w:val="333333"/>
                <w:kern w:val="0"/>
                <w:sz w:val="24"/>
                <w:szCs w:val="24"/>
                <w:bdr w:val="none" w:sz="0" w:space="0" w:color="auto" w:frame="1"/>
              </w:rPr>
              <w:t>由两个以上的经营者共同控制的合营企业，通过集中被其中一个或一个以上经营者控制。</w:t>
            </w:r>
          </w:p>
        </w:tc>
      </w:tr>
      <w:tr w:rsidR="00CB00DF" w:rsidRPr="00567E25" w:rsidTr="00CB00DF">
        <w:tc>
          <w:tcPr>
            <w:tcW w:w="1809" w:type="dxa"/>
            <w:shd w:val="clear" w:color="auto" w:fill="D9D9D9"/>
            <w:vAlign w:val="center"/>
          </w:tcPr>
          <w:p w:rsidR="00CB00DF" w:rsidRPr="00567E25" w:rsidRDefault="00CB00DF" w:rsidP="00CB00DF">
            <w:pPr>
              <w:spacing w:line="500" w:lineRule="exact"/>
              <w:jc w:val="center"/>
              <w:rPr>
                <w:rFonts w:ascii="Times New Roman" w:hAnsi="Times New Roman"/>
                <w:b/>
                <w:color w:val="333333"/>
                <w:kern w:val="0"/>
                <w:sz w:val="24"/>
                <w:szCs w:val="24"/>
                <w:bdr w:val="none" w:sz="0" w:space="0" w:color="auto" w:frame="1"/>
              </w:rPr>
            </w:pPr>
            <w:r w:rsidRPr="00567E25">
              <w:rPr>
                <w:rFonts w:ascii="Times New Roman" w:hAnsi="Times New Roman"/>
                <w:b/>
                <w:color w:val="333333"/>
                <w:kern w:val="0"/>
                <w:sz w:val="24"/>
                <w:szCs w:val="24"/>
                <w:bdr w:val="none" w:sz="0" w:space="0" w:color="auto" w:frame="1"/>
              </w:rPr>
              <w:t>备注</w:t>
            </w:r>
          </w:p>
        </w:tc>
        <w:tc>
          <w:tcPr>
            <w:tcW w:w="6949" w:type="dxa"/>
            <w:gridSpan w:val="2"/>
          </w:tcPr>
          <w:p w:rsidR="006253ED" w:rsidRPr="00567E25" w:rsidRDefault="006253ED" w:rsidP="006908A4">
            <w:pPr>
              <w:spacing w:line="500" w:lineRule="exact"/>
              <w:rPr>
                <w:rFonts w:ascii="Times New Roman" w:hAnsi="Times New Roman"/>
                <w:color w:val="333333"/>
                <w:kern w:val="0"/>
                <w:sz w:val="24"/>
                <w:szCs w:val="24"/>
                <w:bdr w:val="none" w:sz="0" w:space="0" w:color="auto" w:frame="1"/>
              </w:rPr>
            </w:pPr>
            <w:r w:rsidRPr="00567E25">
              <w:rPr>
                <w:rFonts w:ascii="Times New Roman" w:hAnsi="Times New Roman" w:hint="eastAsia"/>
                <w:color w:val="333333"/>
                <w:kern w:val="0"/>
                <w:sz w:val="24"/>
                <w:szCs w:val="24"/>
                <w:bdr w:val="none" w:sz="0" w:space="0" w:color="auto" w:frame="1"/>
              </w:rPr>
              <w:t>相关产品市场（横向重叠）：天然气开发、生产和上游供应市场</w:t>
            </w:r>
          </w:p>
          <w:p w:rsidR="006253ED" w:rsidRPr="00567E25" w:rsidRDefault="006253ED" w:rsidP="006908A4">
            <w:pPr>
              <w:spacing w:line="500" w:lineRule="exact"/>
              <w:rPr>
                <w:rFonts w:ascii="Times New Roman" w:hAnsi="Times New Roman"/>
                <w:color w:val="333333"/>
                <w:kern w:val="0"/>
                <w:sz w:val="24"/>
                <w:szCs w:val="24"/>
                <w:bdr w:val="none" w:sz="0" w:space="0" w:color="auto" w:frame="1"/>
              </w:rPr>
            </w:pPr>
            <w:r w:rsidRPr="00567E25">
              <w:rPr>
                <w:rFonts w:ascii="Times New Roman" w:hAnsi="Times New Roman" w:hint="eastAsia"/>
                <w:color w:val="333333"/>
                <w:kern w:val="0"/>
                <w:sz w:val="24"/>
                <w:szCs w:val="24"/>
                <w:bdr w:val="none" w:sz="0" w:space="0" w:color="auto" w:frame="1"/>
              </w:rPr>
              <w:t>相关地域市场：全球</w:t>
            </w:r>
          </w:p>
          <w:p w:rsidR="006253ED" w:rsidRPr="00567E25" w:rsidRDefault="006253ED" w:rsidP="00013A3F">
            <w:pPr>
              <w:spacing w:line="500" w:lineRule="exact"/>
              <w:rPr>
                <w:rFonts w:ascii="Times New Roman" w:hAnsi="Times New Roman"/>
                <w:color w:val="333333"/>
                <w:kern w:val="0"/>
                <w:sz w:val="24"/>
                <w:szCs w:val="24"/>
                <w:bdr w:val="none" w:sz="0" w:space="0" w:color="auto" w:frame="1"/>
              </w:rPr>
            </w:pPr>
            <w:r w:rsidRPr="00567E25">
              <w:rPr>
                <w:rFonts w:ascii="Times New Roman" w:hAnsi="Times New Roman" w:hint="eastAsia"/>
                <w:color w:val="333333"/>
                <w:kern w:val="0"/>
                <w:sz w:val="24"/>
                <w:szCs w:val="24"/>
                <w:bdr w:val="none" w:sz="0" w:space="0" w:color="auto" w:frame="1"/>
              </w:rPr>
              <w:t>市场份额：全球市场</w:t>
            </w:r>
            <w:r w:rsidR="00A67579" w:rsidRPr="00567E25">
              <w:rPr>
                <w:rFonts w:ascii="Times New Roman" w:hAnsi="Times New Roman" w:hint="eastAsia"/>
                <w:color w:val="333333"/>
                <w:kern w:val="0"/>
                <w:sz w:val="24"/>
                <w:szCs w:val="24"/>
                <w:bdr w:val="none" w:sz="0" w:space="0" w:color="auto" w:frame="1"/>
              </w:rPr>
              <w:t>合并</w:t>
            </w:r>
            <w:r w:rsidR="00013A3F" w:rsidRPr="00567E25">
              <w:rPr>
                <w:rFonts w:ascii="Times New Roman" w:hAnsi="Times New Roman" w:hint="eastAsia"/>
                <w:color w:val="333333"/>
                <w:kern w:val="0"/>
                <w:sz w:val="24"/>
                <w:szCs w:val="24"/>
                <w:bdr w:val="none" w:sz="0" w:space="0" w:color="auto" w:frame="1"/>
              </w:rPr>
              <w:t>份额</w:t>
            </w:r>
            <w:r w:rsidRPr="00567E25">
              <w:rPr>
                <w:rFonts w:ascii="Times New Roman" w:hAnsi="Times New Roman" w:hint="eastAsia"/>
                <w:color w:val="333333"/>
                <w:kern w:val="0"/>
                <w:sz w:val="24"/>
                <w:szCs w:val="24"/>
                <w:bdr w:val="none" w:sz="0" w:space="0" w:color="auto" w:frame="1"/>
              </w:rPr>
              <w:t>[</w:t>
            </w:r>
            <w:r w:rsidRPr="00567E25">
              <w:rPr>
                <w:rFonts w:ascii="Times New Roman" w:hAnsi="Times New Roman"/>
                <w:color w:val="333333"/>
                <w:kern w:val="0"/>
                <w:sz w:val="24"/>
                <w:szCs w:val="24"/>
                <w:bdr w:val="none" w:sz="0" w:space="0" w:color="auto" w:frame="1"/>
              </w:rPr>
              <w:t>5</w:t>
            </w:r>
            <w:r w:rsidRPr="00567E25">
              <w:rPr>
                <w:rFonts w:ascii="Times New Roman" w:hAnsi="Times New Roman" w:hint="eastAsia"/>
                <w:color w:val="333333"/>
                <w:kern w:val="0"/>
                <w:sz w:val="24"/>
                <w:szCs w:val="24"/>
                <w:bdr w:val="none" w:sz="0" w:space="0" w:color="auto" w:frame="1"/>
              </w:rPr>
              <w:t>-</w:t>
            </w:r>
            <w:r w:rsidRPr="00567E25">
              <w:rPr>
                <w:rFonts w:ascii="Times New Roman" w:hAnsi="Times New Roman"/>
                <w:color w:val="333333"/>
                <w:kern w:val="0"/>
                <w:sz w:val="24"/>
                <w:szCs w:val="24"/>
                <w:bdr w:val="none" w:sz="0" w:space="0" w:color="auto" w:frame="1"/>
              </w:rPr>
              <w:t>10</w:t>
            </w:r>
            <w:r w:rsidRPr="00567E25">
              <w:rPr>
                <w:rFonts w:ascii="Times New Roman" w:hAnsi="Times New Roman" w:hint="eastAsia"/>
                <w:color w:val="333333"/>
                <w:kern w:val="0"/>
                <w:sz w:val="24"/>
                <w:szCs w:val="24"/>
                <w:bdr w:val="none" w:sz="0" w:space="0" w:color="auto" w:frame="1"/>
              </w:rPr>
              <w:t>]%</w:t>
            </w:r>
            <w:r w:rsidRPr="00567E25">
              <w:rPr>
                <w:rFonts w:ascii="Times New Roman" w:hAnsi="Times New Roman" w:hint="eastAsia"/>
                <w:color w:val="333333"/>
                <w:kern w:val="0"/>
                <w:sz w:val="24"/>
                <w:szCs w:val="24"/>
                <w:bdr w:val="none" w:sz="0" w:space="0" w:color="auto" w:frame="1"/>
              </w:rPr>
              <w:t>，中国市场</w:t>
            </w:r>
            <w:r w:rsidR="00A67579" w:rsidRPr="00567E25">
              <w:rPr>
                <w:rFonts w:ascii="Times New Roman" w:hAnsi="Times New Roman" w:hint="eastAsia"/>
                <w:color w:val="333333"/>
                <w:kern w:val="0"/>
                <w:sz w:val="24"/>
                <w:szCs w:val="24"/>
                <w:bdr w:val="none" w:sz="0" w:space="0" w:color="auto" w:frame="1"/>
              </w:rPr>
              <w:t>合并</w:t>
            </w:r>
            <w:r w:rsidR="00013A3F" w:rsidRPr="00567E25">
              <w:rPr>
                <w:rFonts w:ascii="Times New Roman" w:hAnsi="Times New Roman" w:hint="eastAsia"/>
                <w:color w:val="333333"/>
                <w:kern w:val="0"/>
                <w:sz w:val="24"/>
                <w:szCs w:val="24"/>
                <w:bdr w:val="none" w:sz="0" w:space="0" w:color="auto" w:frame="1"/>
              </w:rPr>
              <w:t>份额</w:t>
            </w:r>
            <w:r w:rsidRPr="00567E25">
              <w:rPr>
                <w:rFonts w:ascii="Times New Roman" w:hAnsi="Times New Roman" w:hint="eastAsia"/>
                <w:color w:val="333333"/>
                <w:kern w:val="0"/>
                <w:sz w:val="24"/>
                <w:szCs w:val="24"/>
                <w:bdr w:val="none" w:sz="0" w:space="0" w:color="auto" w:frame="1"/>
              </w:rPr>
              <w:t>[</w:t>
            </w:r>
            <w:r w:rsidRPr="00567E25">
              <w:rPr>
                <w:rFonts w:ascii="Times New Roman" w:hAnsi="Times New Roman"/>
                <w:color w:val="333333"/>
                <w:kern w:val="0"/>
                <w:sz w:val="24"/>
                <w:szCs w:val="24"/>
                <w:bdr w:val="none" w:sz="0" w:space="0" w:color="auto" w:frame="1"/>
              </w:rPr>
              <w:t>1</w:t>
            </w:r>
            <w:r w:rsidRPr="00567E25">
              <w:rPr>
                <w:rFonts w:ascii="Times New Roman" w:hAnsi="Times New Roman" w:hint="eastAsia"/>
                <w:color w:val="333333"/>
                <w:kern w:val="0"/>
                <w:sz w:val="24"/>
                <w:szCs w:val="24"/>
                <w:bdr w:val="none" w:sz="0" w:space="0" w:color="auto" w:frame="1"/>
              </w:rPr>
              <w:t>-</w:t>
            </w:r>
            <w:r w:rsidRPr="00567E25">
              <w:rPr>
                <w:rFonts w:ascii="Times New Roman" w:hAnsi="Times New Roman"/>
                <w:color w:val="333333"/>
                <w:kern w:val="0"/>
                <w:sz w:val="24"/>
                <w:szCs w:val="24"/>
                <w:bdr w:val="none" w:sz="0" w:space="0" w:color="auto" w:frame="1"/>
              </w:rPr>
              <w:t>5</w:t>
            </w:r>
            <w:r w:rsidRPr="00567E25">
              <w:rPr>
                <w:rFonts w:ascii="Times New Roman" w:hAnsi="Times New Roman" w:hint="eastAsia"/>
                <w:color w:val="333333"/>
                <w:kern w:val="0"/>
                <w:sz w:val="24"/>
                <w:szCs w:val="24"/>
                <w:bdr w:val="none" w:sz="0" w:space="0" w:color="auto" w:frame="1"/>
              </w:rPr>
              <w:t>]%</w:t>
            </w:r>
          </w:p>
        </w:tc>
      </w:tr>
    </w:tbl>
    <w:p w:rsidR="00CB00DF" w:rsidRDefault="00CB00DF" w:rsidP="00CB00DF">
      <w:pPr>
        <w:snapToGrid w:val="0"/>
        <w:spacing w:line="240" w:lineRule="exact"/>
        <w:jc w:val="left"/>
        <w:rPr>
          <w:rFonts w:ascii="Times New Roman" w:hAnsi="Times New Roman"/>
          <w:sz w:val="24"/>
          <w:szCs w:val="24"/>
        </w:rPr>
      </w:pPr>
    </w:p>
    <w:p w:rsidR="00567E25" w:rsidRPr="00EA3A17" w:rsidRDefault="00567E25" w:rsidP="00CB00DF">
      <w:pPr>
        <w:snapToGrid w:val="0"/>
        <w:spacing w:line="240" w:lineRule="exact"/>
        <w:jc w:val="left"/>
        <w:rPr>
          <w:rFonts w:ascii="Times New Roman" w:hAnsi="Times New Roman"/>
          <w:sz w:val="24"/>
          <w:szCs w:val="24"/>
        </w:rPr>
      </w:pPr>
    </w:p>
    <w:p w:rsidR="00CB00DF" w:rsidRPr="00EA3A17" w:rsidRDefault="00CB00DF" w:rsidP="00CB00DF">
      <w:pPr>
        <w:snapToGrid w:val="0"/>
        <w:spacing w:line="240" w:lineRule="exact"/>
        <w:jc w:val="left"/>
        <w:rPr>
          <w:rFonts w:ascii="Times New Roman" w:hAnsi="Times New Roman"/>
          <w:sz w:val="24"/>
          <w:szCs w:val="24"/>
        </w:rPr>
      </w:pPr>
      <w:r w:rsidRPr="00EA3A17">
        <w:rPr>
          <w:rFonts w:ascii="Times New Roman" w:hAnsi="Times New Roman"/>
          <w:sz w:val="24"/>
          <w:szCs w:val="24"/>
        </w:rPr>
        <w:t>注解：</w:t>
      </w:r>
    </w:p>
    <w:p w:rsidR="00CB00DF" w:rsidRPr="00EA3A17" w:rsidRDefault="00CB00DF" w:rsidP="00CB00DF">
      <w:pPr>
        <w:snapToGrid w:val="0"/>
        <w:spacing w:line="360" w:lineRule="auto"/>
        <w:ind w:firstLineChars="200" w:firstLine="480"/>
        <w:jc w:val="left"/>
        <w:rPr>
          <w:rFonts w:ascii="Times New Roman" w:hAnsi="Times New Roman"/>
          <w:sz w:val="24"/>
          <w:szCs w:val="24"/>
        </w:rPr>
      </w:pPr>
      <w:r w:rsidRPr="00EA3A17">
        <w:rPr>
          <w:rFonts w:ascii="Times New Roman" w:hAnsi="Times New Roman"/>
          <w:sz w:val="24"/>
          <w:szCs w:val="24"/>
        </w:rPr>
        <w:t>1.</w:t>
      </w:r>
      <w:r w:rsidRPr="00EA3A17">
        <w:rPr>
          <w:rFonts w:ascii="Times New Roman" w:hAnsi="Times New Roman"/>
          <w:sz w:val="24"/>
          <w:szCs w:val="24"/>
        </w:rPr>
        <w:t>申报方申请简易案件的理由是基于</w:t>
      </w:r>
      <w:r w:rsidRPr="00EA3A17">
        <w:rPr>
          <w:rFonts w:ascii="Times New Roman" w:hAnsi="Times New Roman"/>
          <w:sz w:val="24"/>
          <w:szCs w:val="24"/>
        </w:rPr>
        <w:t>1-3</w:t>
      </w:r>
      <w:r w:rsidRPr="00EA3A17">
        <w:rPr>
          <w:rFonts w:ascii="Times New Roman" w:hAnsi="Times New Roman"/>
          <w:sz w:val="24"/>
          <w:szCs w:val="24"/>
        </w:rPr>
        <w:t>项时，须在备注中说明界定的相关商品市场和相关地域市场（无须阐述界定理由），以及相关市场份额；市场份额可以区间形式提供，区间幅度不应超过</w:t>
      </w:r>
      <w:r w:rsidRPr="00EA3A17">
        <w:rPr>
          <w:rFonts w:ascii="Times New Roman" w:hAnsi="Times New Roman"/>
          <w:sz w:val="24"/>
          <w:szCs w:val="24"/>
        </w:rPr>
        <w:t>5%</w:t>
      </w:r>
      <w:r w:rsidRPr="00EA3A17">
        <w:rPr>
          <w:rFonts w:ascii="Times New Roman" w:hAnsi="Times New Roman"/>
          <w:sz w:val="24"/>
          <w:szCs w:val="24"/>
        </w:rPr>
        <w:t>。</w:t>
      </w:r>
      <w:r w:rsidRPr="00EA3A17">
        <w:rPr>
          <w:rFonts w:ascii="Times New Roman" w:hAnsi="Times New Roman"/>
          <w:sz w:val="24"/>
          <w:szCs w:val="24"/>
        </w:rPr>
        <w:t>1-3</w:t>
      </w:r>
      <w:r w:rsidRPr="00EA3A17">
        <w:rPr>
          <w:rFonts w:ascii="Times New Roman" w:hAnsi="Times New Roman"/>
          <w:sz w:val="24"/>
          <w:szCs w:val="24"/>
        </w:rPr>
        <w:t>项可以多选，也可单选；没有勾选的，视为本集中不涉及该类型交易。</w:t>
      </w:r>
    </w:p>
    <w:p w:rsidR="00CB00DF" w:rsidRPr="00EA3A17" w:rsidRDefault="00CB00DF" w:rsidP="00CB00DF">
      <w:pPr>
        <w:spacing w:line="360" w:lineRule="auto"/>
        <w:ind w:firstLineChars="200" w:firstLine="480"/>
        <w:rPr>
          <w:rFonts w:ascii="Times New Roman" w:hAnsi="Times New Roman"/>
          <w:sz w:val="28"/>
          <w:szCs w:val="28"/>
        </w:rPr>
      </w:pPr>
      <w:r w:rsidRPr="00EA3A17">
        <w:rPr>
          <w:rFonts w:ascii="Times New Roman" w:hAnsi="Times New Roman"/>
          <w:sz w:val="24"/>
          <w:szCs w:val="24"/>
        </w:rPr>
        <w:t>2.</w:t>
      </w:r>
      <w:r w:rsidRPr="00EA3A17">
        <w:rPr>
          <w:rFonts w:ascii="Times New Roman" w:hAnsi="Times New Roman"/>
          <w:sz w:val="24"/>
          <w:szCs w:val="24"/>
        </w:rPr>
        <w:t>申报方申请简易案件的理由是基于第</w:t>
      </w:r>
      <w:r w:rsidRPr="00EA3A17">
        <w:rPr>
          <w:rFonts w:ascii="Times New Roman" w:hAnsi="Times New Roman"/>
          <w:sz w:val="24"/>
          <w:szCs w:val="24"/>
        </w:rPr>
        <w:t>4</w:t>
      </w:r>
      <w:r w:rsidRPr="00EA3A17">
        <w:rPr>
          <w:rFonts w:ascii="Times New Roman" w:hAnsi="Times New Roman"/>
          <w:sz w:val="24"/>
          <w:szCs w:val="24"/>
        </w:rPr>
        <w:t>项、第</w:t>
      </w:r>
      <w:r w:rsidRPr="00EA3A17">
        <w:rPr>
          <w:rFonts w:ascii="Times New Roman" w:hAnsi="Times New Roman"/>
          <w:sz w:val="24"/>
          <w:szCs w:val="24"/>
        </w:rPr>
        <w:t>5</w:t>
      </w:r>
      <w:r w:rsidRPr="00EA3A17">
        <w:rPr>
          <w:rFonts w:ascii="Times New Roman" w:hAnsi="Times New Roman"/>
          <w:sz w:val="24"/>
          <w:szCs w:val="24"/>
        </w:rPr>
        <w:t>项时，无须在备注中说明相关市场和市场份额。</w:t>
      </w:r>
      <w:r w:rsidRPr="00EA3A17">
        <w:rPr>
          <w:rFonts w:ascii="Times New Roman" w:hAnsi="Times New Roman"/>
          <w:sz w:val="24"/>
          <w:szCs w:val="24"/>
        </w:rPr>
        <w:br/>
        <w:t xml:space="preserve">    3.</w:t>
      </w:r>
      <w:r w:rsidRPr="00EA3A17">
        <w:rPr>
          <w:rFonts w:ascii="Times New Roman" w:hAnsi="Times New Roman"/>
          <w:sz w:val="24"/>
          <w:szCs w:val="24"/>
        </w:rPr>
        <w:t>由两个或两个以上经营者共同控制的合营企业，通过集中被其中的一个经营者控制，如果该经营者与合营企业属于同一相关市场的竞争者，则申报方在申请简易案件时，须同时勾选第</w:t>
      </w:r>
      <w:r w:rsidRPr="00EA3A17">
        <w:rPr>
          <w:rFonts w:ascii="Times New Roman" w:hAnsi="Times New Roman"/>
          <w:sz w:val="24"/>
          <w:szCs w:val="24"/>
        </w:rPr>
        <w:t>1</w:t>
      </w:r>
      <w:r w:rsidRPr="00EA3A17">
        <w:rPr>
          <w:rFonts w:ascii="Times New Roman" w:hAnsi="Times New Roman"/>
          <w:sz w:val="24"/>
          <w:szCs w:val="24"/>
        </w:rPr>
        <w:t>项和第</w:t>
      </w:r>
      <w:r w:rsidRPr="00EA3A17">
        <w:rPr>
          <w:rFonts w:ascii="Times New Roman" w:hAnsi="Times New Roman"/>
          <w:sz w:val="24"/>
          <w:szCs w:val="24"/>
        </w:rPr>
        <w:t>6</w:t>
      </w:r>
      <w:r w:rsidRPr="00EA3A17">
        <w:rPr>
          <w:rFonts w:ascii="Times New Roman" w:hAnsi="Times New Roman"/>
          <w:sz w:val="24"/>
          <w:szCs w:val="24"/>
        </w:rPr>
        <w:t>项理由，并在备注中说明界定的相关商品市场和相关地域市场（无须阐述界定理由），以及相关市场份额。市场份额可以区间形式提供，区间幅度不应超过</w:t>
      </w:r>
      <w:r w:rsidRPr="00EA3A17">
        <w:rPr>
          <w:rFonts w:ascii="Times New Roman" w:hAnsi="Times New Roman"/>
          <w:sz w:val="24"/>
          <w:szCs w:val="24"/>
        </w:rPr>
        <w:t>5%</w:t>
      </w:r>
      <w:r w:rsidRPr="00EA3A17">
        <w:rPr>
          <w:rFonts w:ascii="Times New Roman" w:hAnsi="Times New Roman"/>
          <w:sz w:val="24"/>
          <w:szCs w:val="24"/>
        </w:rPr>
        <w:t>。</w:t>
      </w:r>
    </w:p>
    <w:p w:rsidR="00CB00DF" w:rsidRPr="00EA3A17" w:rsidRDefault="00CB00DF" w:rsidP="00CB00DF">
      <w:pPr>
        <w:rPr>
          <w:rFonts w:ascii="Times New Roman" w:hAnsi="Times New Roman"/>
        </w:rPr>
      </w:pPr>
    </w:p>
    <w:p w:rsidR="000F5E24" w:rsidRPr="00EA3A17" w:rsidRDefault="007353DB">
      <w:pPr>
        <w:rPr>
          <w:rFonts w:ascii="Times New Roman" w:hAnsi="Times New Roman"/>
        </w:rPr>
      </w:pPr>
    </w:p>
    <w:sectPr w:rsidR="000F5E24" w:rsidRPr="00EA3A17" w:rsidSect="00ED21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13A3F"/>
    <w:rsid w:val="00037065"/>
    <w:rsid w:val="000D7EBA"/>
    <w:rsid w:val="001164CD"/>
    <w:rsid w:val="00155717"/>
    <w:rsid w:val="001837A3"/>
    <w:rsid w:val="002C2967"/>
    <w:rsid w:val="003C0AEB"/>
    <w:rsid w:val="003D1F97"/>
    <w:rsid w:val="004F7688"/>
    <w:rsid w:val="00567E25"/>
    <w:rsid w:val="005E4E8B"/>
    <w:rsid w:val="006253ED"/>
    <w:rsid w:val="006467D8"/>
    <w:rsid w:val="006A531B"/>
    <w:rsid w:val="006F7693"/>
    <w:rsid w:val="00710140"/>
    <w:rsid w:val="007353DB"/>
    <w:rsid w:val="007B1CDD"/>
    <w:rsid w:val="007F2275"/>
    <w:rsid w:val="00835674"/>
    <w:rsid w:val="008A300C"/>
    <w:rsid w:val="00915F0F"/>
    <w:rsid w:val="009532DF"/>
    <w:rsid w:val="00997019"/>
    <w:rsid w:val="009A5029"/>
    <w:rsid w:val="009D38D5"/>
    <w:rsid w:val="00A31D35"/>
    <w:rsid w:val="00A53F26"/>
    <w:rsid w:val="00A67579"/>
    <w:rsid w:val="00AA0CC5"/>
    <w:rsid w:val="00B16AFE"/>
    <w:rsid w:val="00B42D28"/>
    <w:rsid w:val="00B65DD5"/>
    <w:rsid w:val="00BD10B6"/>
    <w:rsid w:val="00C07076"/>
    <w:rsid w:val="00C7145B"/>
    <w:rsid w:val="00CB00DF"/>
    <w:rsid w:val="00D73C72"/>
    <w:rsid w:val="00D91F78"/>
    <w:rsid w:val="00E0592B"/>
    <w:rsid w:val="00E31738"/>
    <w:rsid w:val="00E86786"/>
    <w:rsid w:val="00EA3A17"/>
    <w:rsid w:val="00ED2F80"/>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F28EBD-82DF-4E9A-9A63-5F133B7B1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175</Words>
  <Characters>1002</Characters>
  <Application>Microsoft Office Word</Application>
  <DocSecurity>0</DocSecurity>
  <Lines>8</Lines>
  <Paragraphs>2</Paragraphs>
  <ScaleCrop>false</ScaleCrop>
  <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Xia Xi</cp:lastModifiedBy>
  <cp:revision>4</cp:revision>
  <dcterms:created xsi:type="dcterms:W3CDTF">2019-04-03T02:25:00Z</dcterms:created>
  <dcterms:modified xsi:type="dcterms:W3CDTF">2019-04-03T02:49:00Z</dcterms:modified>
</cp:coreProperties>
</file>