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0173" w:rsidRDefault="00020173" w:rsidP="00020173">
      <w:pPr>
        <w:spacing w:line="480" w:lineRule="exact"/>
        <w:rPr>
          <w:rFonts w:ascii="Arial" w:eastAsia="PMingLiU" w:hAnsi="Arial" w:cs="Arial" w:hint="eastAsia"/>
          <w:sz w:val="28"/>
          <w:szCs w:val="28"/>
          <w:lang w:eastAsia="zh-TW"/>
        </w:rPr>
      </w:pPr>
    </w:p>
    <w:p w:rsidR="00020173" w:rsidRDefault="00020173" w:rsidP="00020173">
      <w:pPr>
        <w:spacing w:line="440" w:lineRule="exact"/>
        <w:jc w:val="center"/>
        <w:rPr>
          <w:rFonts w:ascii="Arial" w:eastAsia="黑体" w:hAnsi="Arial" w:cs="Arial"/>
          <w:sz w:val="30"/>
          <w:szCs w:val="30"/>
        </w:rPr>
      </w:pPr>
      <w:r>
        <w:rPr>
          <w:rFonts w:ascii="Arial" w:eastAsia="黑体" w:hAnsi="Arial" w:cs="Arial" w:hint="eastAsia"/>
          <w:sz w:val="30"/>
          <w:szCs w:val="30"/>
        </w:rPr>
        <w:t>经营者集中简易案件公示表</w:t>
      </w:r>
    </w:p>
    <w:p w:rsidR="00020173" w:rsidRDefault="00020173" w:rsidP="00020173">
      <w:pPr>
        <w:spacing w:line="440" w:lineRule="exact"/>
        <w:rPr>
          <w:rFonts w:ascii="Arial" w:eastAsia="黑体" w:hAnsi="Arial" w:cs="Arial"/>
          <w:sz w:val="28"/>
          <w:szCs w:val="28"/>
        </w:rPr>
      </w:pPr>
    </w:p>
    <w:p w:rsidR="00020173" w:rsidRDefault="00020173" w:rsidP="00020173">
      <w:pPr>
        <w:spacing w:line="440" w:lineRule="exact"/>
        <w:ind w:firstLineChars="302" w:firstLine="846"/>
        <w:rPr>
          <w:rFonts w:ascii="Arial" w:eastAsia="仿宋_GB2312" w:hAnsi="Arial" w:cs="Arial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7"/>
        <w:gridCol w:w="1884"/>
        <w:gridCol w:w="5147"/>
      </w:tblGrid>
      <w:tr w:rsidR="00020173" w:rsidTr="00B3438F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020173" w:rsidRDefault="00020173" w:rsidP="00B3438F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>
              <w:rPr>
                <w:rFonts w:ascii="Arial" w:eastAsia="仿宋_GB2312" w:hAnsi="Arial" w:cs="Arial" w:hint="eastAsia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0173" w:rsidRDefault="00020173" w:rsidP="00B3438F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>
              <w:rPr>
                <w:rFonts w:ascii="Arial" w:eastAsia="仿宋_GB2312" w:hAnsi="Arial" w:cs="Arial" w:hint="eastAsia"/>
                <w:sz w:val="24"/>
                <w:szCs w:val="24"/>
              </w:rPr>
              <w:t>安盛保险股份公司收购安盛天平财产保险股份有限公司股权案</w:t>
            </w:r>
          </w:p>
        </w:tc>
      </w:tr>
      <w:tr w:rsidR="00020173" w:rsidTr="00B3438F">
        <w:trPr>
          <w:trHeight w:val="993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020173" w:rsidRDefault="00020173" w:rsidP="00B3438F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>
              <w:rPr>
                <w:rFonts w:ascii="Arial" w:eastAsia="仿宋_GB2312" w:hAnsi="Arial" w:cs="Arial" w:hint="eastAsia"/>
                <w:sz w:val="24"/>
                <w:szCs w:val="24"/>
              </w:rPr>
              <w:t>交易概况（限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200</w:t>
            </w:r>
            <w:r>
              <w:rPr>
                <w:rFonts w:ascii="Arial" w:eastAsia="仿宋_GB2312" w:hAnsi="Arial" w:cs="Arial" w:hint="eastAsia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0173" w:rsidRDefault="00020173" w:rsidP="00B3438F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>
              <w:rPr>
                <w:rFonts w:ascii="Arial" w:eastAsia="仿宋_GB2312" w:hAnsi="Arial" w:cs="Arial" w:hint="eastAsia"/>
                <w:sz w:val="24"/>
                <w:szCs w:val="24"/>
              </w:rPr>
              <w:t>安盛将向卖方收购安盛天平</w:t>
            </w:r>
            <w:r>
              <w:rPr>
                <w:rFonts w:ascii="Arial" w:eastAsia="仿宋_GB2312" w:hAnsi="Arial" w:cs="Arial" w:hint="eastAsia"/>
                <w:sz w:val="24"/>
                <w:szCs w:val="24"/>
              </w:rPr>
              <w:t>50%</w:t>
            </w:r>
            <w:r>
              <w:rPr>
                <w:rFonts w:ascii="Arial" w:eastAsia="仿宋_GB2312" w:hAnsi="Arial" w:cs="Arial" w:hint="eastAsia"/>
                <w:sz w:val="24"/>
                <w:szCs w:val="24"/>
              </w:rPr>
              <w:t>普通股（“拟定交易”）。拟定交易完成后，安盛将拥有安盛天平的所有股份。安盛天平因此将由安盛单独控制，亦即由安盛集团单独控制。</w:t>
            </w:r>
          </w:p>
        </w:tc>
      </w:tr>
      <w:tr w:rsidR="00020173" w:rsidTr="00B3438F">
        <w:trPr>
          <w:trHeight w:val="468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020173" w:rsidRDefault="00020173" w:rsidP="00B3438F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>
              <w:rPr>
                <w:rFonts w:ascii="Arial" w:eastAsia="仿宋_GB2312" w:hAnsi="Arial" w:cs="Arial" w:hint="eastAsia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0173" w:rsidRDefault="00020173" w:rsidP="00B3438F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>
              <w:rPr>
                <w:rFonts w:ascii="Arial" w:eastAsia="仿宋_GB2312" w:hAnsi="Arial" w:cs="Arial"/>
                <w:sz w:val="24"/>
                <w:szCs w:val="24"/>
              </w:rPr>
              <w:t>1</w:t>
            </w:r>
            <w:r>
              <w:rPr>
                <w:rFonts w:ascii="Arial" w:eastAsia="仿宋_GB2312" w:hAnsi="Arial" w:cs="Arial" w:hint="eastAsia"/>
                <w:sz w:val="24"/>
                <w:szCs w:val="24"/>
              </w:rPr>
              <w:t>、安盛保险股份公司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(AXA Versicherungen AG)</w:t>
            </w:r>
            <w:r>
              <w:rPr>
                <w:rFonts w:ascii="Arial" w:eastAsia="仿宋_GB2312" w:hAnsi="Arial" w:cs="Arial" w:hint="eastAsia"/>
                <w:sz w:val="24"/>
                <w:szCs w:val="24"/>
              </w:rPr>
              <w:t>（“安盛”）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0173" w:rsidRDefault="00020173" w:rsidP="00B3438F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>
              <w:rPr>
                <w:rFonts w:ascii="Arial" w:eastAsia="仿宋_GB2312" w:hAnsi="Arial" w:cs="Arial" w:hint="eastAsia"/>
                <w:sz w:val="24"/>
                <w:szCs w:val="24"/>
              </w:rPr>
              <w:t>安盛是</w:t>
            </w:r>
            <w:r>
              <w:rPr>
                <w:rFonts w:ascii="Arial" w:eastAsia="仿宋_GB2312" w:hAnsi="Arial" w:cs="Arial" w:hint="eastAsia"/>
                <w:sz w:val="24"/>
                <w:szCs w:val="24"/>
              </w:rPr>
              <w:t>AXA SA</w:t>
            </w:r>
            <w:r>
              <w:rPr>
                <w:rFonts w:ascii="Arial" w:eastAsia="仿宋_GB2312" w:hAnsi="Arial" w:cs="Arial" w:hint="eastAsia"/>
                <w:sz w:val="24"/>
                <w:szCs w:val="24"/>
              </w:rPr>
              <w:t>的全资子公司。</w:t>
            </w:r>
            <w:r>
              <w:rPr>
                <w:rFonts w:ascii="Arial" w:eastAsia="仿宋_GB2312" w:hAnsi="Arial" w:cs="Arial" w:hint="eastAsia"/>
                <w:sz w:val="24"/>
                <w:szCs w:val="24"/>
              </w:rPr>
              <w:t>AXA SA</w:t>
            </w:r>
            <w:r>
              <w:rPr>
                <w:rFonts w:ascii="Arial" w:eastAsia="仿宋_GB2312" w:hAnsi="Arial" w:cs="Arial" w:hint="eastAsia"/>
                <w:sz w:val="24"/>
                <w:szCs w:val="24"/>
              </w:rPr>
              <w:t>及其子公司构成全球保险集团安盛集团</w:t>
            </w:r>
            <w:r>
              <w:rPr>
                <w:rFonts w:ascii="Arial" w:eastAsia="仿宋_GB2312" w:hAnsi="Arial" w:cs="Arial" w:hint="eastAsia"/>
                <w:sz w:val="24"/>
                <w:szCs w:val="24"/>
              </w:rPr>
              <w:t xml:space="preserve"> </w:t>
            </w:r>
            <w:r>
              <w:rPr>
                <w:rFonts w:ascii="Arial" w:eastAsia="仿宋_GB2312" w:hAnsi="Arial" w:cs="Arial" w:hint="eastAsia"/>
                <w:sz w:val="24"/>
                <w:szCs w:val="24"/>
              </w:rPr>
              <w:t>（“安盛集团”），总部设于法国巴黎。安盛集团是活跃提供人寿和非人寿保险及相关金融服务的国际集团，通过五项主要经营活动提供服务：人寿和储蓄；财产保险；健康；资产管理；银行服务。安盛集团主要活跃于西欧、北美、亚太区、中东、拉丁美洲和非洲。</w:t>
            </w:r>
          </w:p>
        </w:tc>
      </w:tr>
      <w:tr w:rsidR="00020173" w:rsidTr="00B3438F">
        <w:trPr>
          <w:trHeight w:val="40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0173" w:rsidRDefault="00020173" w:rsidP="00B3438F">
            <w:pPr>
              <w:widowControl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0173" w:rsidRDefault="00020173" w:rsidP="00B3438F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>
              <w:rPr>
                <w:rFonts w:ascii="Arial" w:eastAsia="仿宋_GB2312" w:hAnsi="Arial" w:cs="Arial"/>
                <w:sz w:val="24"/>
                <w:szCs w:val="24"/>
              </w:rPr>
              <w:t>2</w:t>
            </w:r>
            <w:r>
              <w:rPr>
                <w:rFonts w:ascii="Arial" w:eastAsia="仿宋_GB2312" w:hAnsi="Arial" w:cs="Arial" w:hint="eastAsia"/>
                <w:sz w:val="24"/>
                <w:szCs w:val="24"/>
              </w:rPr>
              <w:t>、安盛天平财产保险股份有限公司</w:t>
            </w:r>
            <w:r>
              <w:rPr>
                <w:rFonts w:ascii="Arial" w:eastAsia="仿宋_GB2312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仿宋_GB2312" w:hAnsi="Arial" w:cs="Arial" w:hint="eastAsia"/>
                <w:sz w:val="24"/>
                <w:szCs w:val="24"/>
              </w:rPr>
              <w:t>（“安盛天平”）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0173" w:rsidRDefault="00020173" w:rsidP="00B3438F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>
              <w:rPr>
                <w:rFonts w:ascii="Arial" w:eastAsia="仿宋_GB2312" w:hAnsi="Arial" w:cs="Arial" w:hint="eastAsia"/>
                <w:sz w:val="24"/>
                <w:szCs w:val="24"/>
              </w:rPr>
              <w:t>安盛天平是在中华人民共和国提供非人寿保险产品的公司。安盛天平的注册业务经营范围包括：机动车辆保险，包括强制机动车交通事故责任保险和机动车商业保险；企业／家庭财产保险和工程保险；船舶／货物保险；农业保险；责任保险；信用担保保险；投资保险；短期健康／意外伤害保险；和上述业务的再保险服务。</w:t>
            </w:r>
          </w:p>
        </w:tc>
      </w:tr>
      <w:tr w:rsidR="00020173" w:rsidTr="00B3438F">
        <w:trPr>
          <w:trHeight w:val="279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020173" w:rsidRDefault="00020173" w:rsidP="00B3438F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>
              <w:rPr>
                <w:rFonts w:ascii="Arial" w:eastAsia="仿宋_GB2312" w:hAnsi="Arial" w:cs="Arial" w:hint="eastAsia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0173" w:rsidRDefault="00020173" w:rsidP="00B3438F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>
              <w:rPr>
                <w:rFonts w:ascii="Arial" w:eastAsia="仿宋_GB2312" w:hAnsi="Arial" w:cs="Arial"/>
                <w:sz w:val="24"/>
                <w:szCs w:val="24"/>
                <w:lang w:val="en-GB"/>
              </w:rPr>
              <w:sym w:font="Wingdings" w:char="F0FE"/>
            </w:r>
            <w:r>
              <w:rPr>
                <w:rFonts w:ascii="Arial" w:eastAsia="仿宋_GB2312" w:hAnsi="Arial" w:cs="Arial"/>
                <w:sz w:val="24"/>
                <w:szCs w:val="24"/>
              </w:rPr>
              <w:t>1</w:t>
            </w:r>
            <w:r>
              <w:rPr>
                <w:rFonts w:ascii="Arial" w:eastAsia="仿宋_GB2312" w:hAnsi="Arial" w:cs="Arial" w:hint="eastAsia"/>
                <w:sz w:val="24"/>
                <w:szCs w:val="24"/>
              </w:rPr>
              <w:t>、在同一相关市场，所有参与集中的经营者所占市场份额之和小于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15%</w:t>
            </w:r>
            <w:r>
              <w:rPr>
                <w:rFonts w:ascii="Arial" w:eastAsia="仿宋_GB2312" w:hAnsi="Arial" w:cs="Arial" w:hint="eastAsia"/>
                <w:sz w:val="24"/>
                <w:szCs w:val="24"/>
              </w:rPr>
              <w:t>。</w:t>
            </w:r>
          </w:p>
        </w:tc>
      </w:tr>
      <w:tr w:rsidR="00020173" w:rsidTr="00B3438F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0173" w:rsidRDefault="00020173" w:rsidP="00B3438F">
            <w:pPr>
              <w:widowControl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0173" w:rsidRDefault="00020173" w:rsidP="00B3438F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>
              <w:rPr>
                <w:rFonts w:ascii="Arial" w:eastAsia="仿宋_GB2312" w:hAnsi="Arial" w:cs="Arial"/>
                <w:sz w:val="24"/>
                <w:szCs w:val="24"/>
                <w:lang w:val="en-GB"/>
              </w:rPr>
              <w:sym w:font="Wingdings" w:char="F0FE"/>
            </w:r>
            <w:r>
              <w:rPr>
                <w:rFonts w:ascii="Arial" w:eastAsia="仿宋_GB2312" w:hAnsi="Arial" w:cs="Arial"/>
                <w:sz w:val="24"/>
                <w:szCs w:val="24"/>
              </w:rPr>
              <w:t>2</w:t>
            </w:r>
            <w:r>
              <w:rPr>
                <w:rFonts w:ascii="Arial" w:eastAsia="仿宋_GB2312" w:hAnsi="Arial" w:cs="Arial" w:hint="eastAsia"/>
                <w:sz w:val="24"/>
                <w:szCs w:val="24"/>
              </w:rPr>
              <w:t>、存在上下游关系的参与集中的经营者，在上下游市场所占的市场份额均小于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25%</w:t>
            </w:r>
            <w:r>
              <w:rPr>
                <w:rFonts w:ascii="Arial" w:eastAsia="仿宋_GB2312" w:hAnsi="Arial" w:cs="Arial" w:hint="eastAsia"/>
                <w:sz w:val="24"/>
                <w:szCs w:val="24"/>
              </w:rPr>
              <w:t>。</w:t>
            </w:r>
          </w:p>
        </w:tc>
      </w:tr>
      <w:tr w:rsidR="00020173" w:rsidTr="00B3438F">
        <w:trPr>
          <w:trHeight w:val="28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0173" w:rsidRDefault="00020173" w:rsidP="00B3438F">
            <w:pPr>
              <w:widowControl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0173" w:rsidRDefault="00020173" w:rsidP="00B3438F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>
              <w:rPr>
                <w:rFonts w:ascii="Arial" w:eastAsia="仿宋_GB2312" w:hAnsi="Arial" w:cs="Arial" w:hint="eastAsia"/>
                <w:sz w:val="24"/>
                <w:szCs w:val="24"/>
              </w:rPr>
              <w:t>□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3</w:t>
            </w:r>
            <w:r>
              <w:rPr>
                <w:rFonts w:ascii="Arial" w:eastAsia="仿宋_GB2312" w:hAnsi="Arial" w:cs="Arial" w:hint="eastAsia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25%</w:t>
            </w:r>
            <w:r>
              <w:rPr>
                <w:rFonts w:ascii="Arial" w:eastAsia="仿宋_GB2312" w:hAnsi="Arial" w:cs="Arial" w:hint="eastAsia"/>
                <w:sz w:val="24"/>
                <w:szCs w:val="24"/>
              </w:rPr>
              <w:t>。</w:t>
            </w:r>
          </w:p>
        </w:tc>
      </w:tr>
      <w:tr w:rsidR="00020173" w:rsidTr="00B3438F">
        <w:trPr>
          <w:trHeight w:val="8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0173" w:rsidRDefault="00020173" w:rsidP="00B3438F">
            <w:pPr>
              <w:widowControl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0173" w:rsidRDefault="00020173" w:rsidP="00B3438F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>
              <w:rPr>
                <w:rFonts w:ascii="Arial" w:eastAsia="仿宋_GB2312" w:hAnsi="Arial" w:cs="Arial" w:hint="eastAsia"/>
                <w:sz w:val="24"/>
                <w:szCs w:val="24"/>
              </w:rPr>
              <w:t>□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4</w:t>
            </w:r>
            <w:r>
              <w:rPr>
                <w:rFonts w:ascii="Arial" w:eastAsia="仿宋_GB2312" w:hAnsi="Arial" w:cs="Arial" w:hint="eastAsia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020173" w:rsidTr="00B3438F">
        <w:trPr>
          <w:trHeight w:val="2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0173" w:rsidRDefault="00020173" w:rsidP="00B3438F">
            <w:pPr>
              <w:widowControl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0173" w:rsidRDefault="00020173" w:rsidP="00B3438F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>
              <w:rPr>
                <w:rFonts w:ascii="Arial" w:eastAsia="仿宋_GB2312" w:hAnsi="Arial" w:cs="Arial" w:hint="eastAsia"/>
                <w:sz w:val="24"/>
                <w:szCs w:val="24"/>
              </w:rPr>
              <w:t>□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5</w:t>
            </w:r>
            <w:r>
              <w:rPr>
                <w:rFonts w:ascii="Arial" w:eastAsia="仿宋_GB2312" w:hAnsi="Arial" w:cs="Arial" w:hint="eastAsia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020173" w:rsidTr="00B3438F">
        <w:trPr>
          <w:trHeight w:val="34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0173" w:rsidRDefault="00020173" w:rsidP="00B3438F">
            <w:pPr>
              <w:widowControl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0173" w:rsidRDefault="00020173" w:rsidP="00B3438F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>
              <w:rPr>
                <w:rFonts w:ascii="Arial" w:eastAsia="仿宋_GB2312" w:hAnsi="Arial" w:cs="Arial" w:hint="eastAsia"/>
                <w:sz w:val="24"/>
                <w:szCs w:val="24"/>
              </w:rPr>
              <w:t>□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6</w:t>
            </w:r>
            <w:r>
              <w:rPr>
                <w:rFonts w:ascii="Arial" w:eastAsia="仿宋_GB2312" w:hAnsi="Arial" w:cs="Arial" w:hint="eastAsia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020173" w:rsidTr="00B3438F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020173" w:rsidRDefault="00020173" w:rsidP="00B3438F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>
              <w:rPr>
                <w:rFonts w:ascii="Arial" w:eastAsia="仿宋_GB2312" w:hAnsi="Arial" w:cs="Arial" w:hint="eastAsia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0173" w:rsidRDefault="00020173" w:rsidP="00B3438F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>
              <w:rPr>
                <w:rFonts w:ascii="Arial" w:eastAsia="仿宋_GB2312" w:hAnsi="Arial" w:cs="Arial"/>
                <w:sz w:val="24"/>
                <w:szCs w:val="24"/>
              </w:rPr>
              <w:t xml:space="preserve">1.  </w:t>
            </w:r>
            <w:r>
              <w:rPr>
                <w:rFonts w:ascii="Arial" w:eastAsia="仿宋_GB2312" w:hAnsi="Arial" w:cs="Arial" w:hint="eastAsia"/>
                <w:b/>
                <w:sz w:val="24"/>
                <w:szCs w:val="24"/>
              </w:rPr>
              <w:t>相关市场界定</w:t>
            </w:r>
          </w:p>
          <w:p w:rsidR="00020173" w:rsidRDefault="00020173" w:rsidP="00B3438F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>
              <w:rPr>
                <w:rFonts w:ascii="Arial" w:eastAsia="仿宋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1</w:t>
            </w:r>
            <w:r>
              <w:rPr>
                <w:rFonts w:ascii="Arial" w:eastAsia="仿宋_GB2312" w:hAnsi="Arial" w:cs="Arial" w:hint="eastAsia"/>
                <w:sz w:val="24"/>
                <w:szCs w:val="24"/>
              </w:rPr>
              <w:t>）相关产品市场：非人寿保险产品（财产和意外伤害保险、人身意外伤害保险及短期健康保险）及再保险。</w:t>
            </w:r>
          </w:p>
          <w:p w:rsidR="00020173" w:rsidRDefault="00020173" w:rsidP="00B3438F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  <w:lang w:val="en-GB"/>
              </w:rPr>
            </w:pPr>
            <w:r>
              <w:rPr>
                <w:rFonts w:ascii="Arial" w:eastAsia="仿宋_GB2312" w:hAnsi="Arial" w:cs="Arial" w:hint="eastAsia"/>
                <w:sz w:val="24"/>
                <w:szCs w:val="24"/>
              </w:rPr>
              <w:t>（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2</w:t>
            </w:r>
            <w:r>
              <w:rPr>
                <w:rFonts w:ascii="Arial" w:eastAsia="仿宋_GB2312" w:hAnsi="Arial" w:cs="Arial" w:hint="eastAsia"/>
                <w:sz w:val="24"/>
                <w:szCs w:val="24"/>
              </w:rPr>
              <w:t>）相关地域市场：中华人民共和国（非人寿保险产品）及全球（再保险）。</w:t>
            </w:r>
          </w:p>
          <w:p w:rsidR="00020173" w:rsidRDefault="00020173" w:rsidP="00B3438F">
            <w:pPr>
              <w:spacing w:line="500" w:lineRule="exact"/>
              <w:rPr>
                <w:rFonts w:ascii="Arial" w:eastAsia="PMingLiU" w:hAnsi="Arial" w:cs="Arial" w:hint="eastAsia"/>
                <w:sz w:val="24"/>
                <w:szCs w:val="24"/>
                <w:lang w:val="en-GB"/>
              </w:rPr>
            </w:pPr>
            <w:r>
              <w:rPr>
                <w:rFonts w:ascii="Arial" w:eastAsia="仿宋_GB2312" w:hAnsi="Arial" w:cs="Arial"/>
                <w:sz w:val="24"/>
                <w:szCs w:val="24"/>
                <w:lang w:val="en-GB"/>
              </w:rPr>
              <w:t xml:space="preserve">2.  </w:t>
            </w:r>
            <w:r>
              <w:rPr>
                <w:rFonts w:ascii="Arial" w:eastAsia="仿宋_GB2312" w:hAnsi="Arial" w:cs="Arial" w:hint="eastAsia"/>
                <w:b/>
                <w:sz w:val="24"/>
                <w:szCs w:val="24"/>
                <w:lang w:val="en-GB"/>
              </w:rPr>
              <w:t>参与集中的经营者的市场份额</w:t>
            </w:r>
          </w:p>
          <w:tbl>
            <w:tblPr>
              <w:tblW w:w="67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92"/>
              <w:gridCol w:w="1066"/>
              <w:gridCol w:w="13"/>
              <w:gridCol w:w="1506"/>
              <w:gridCol w:w="6"/>
              <w:gridCol w:w="1513"/>
              <w:gridCol w:w="1427"/>
            </w:tblGrid>
            <w:tr w:rsidR="00020173" w:rsidTr="00B3438F">
              <w:tc>
                <w:tcPr>
                  <w:tcW w:w="225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0173" w:rsidRDefault="00020173" w:rsidP="00B3438F">
                  <w:pPr>
                    <w:rPr>
                      <w:rFonts w:ascii="Arial" w:hAnsi="Arial" w:cs="Arial"/>
                      <w:b/>
                      <w:szCs w:val="21"/>
                    </w:rPr>
                  </w:pPr>
                  <w:r>
                    <w:rPr>
                      <w:rFonts w:ascii="Arial" w:eastAsia="仿宋_GB2312" w:hAnsi="Arial" w:cs="Arial" w:hint="eastAsia"/>
                      <w:b/>
                      <w:sz w:val="24"/>
                      <w:szCs w:val="24"/>
                    </w:rPr>
                    <w:t>相关市场</w:t>
                  </w:r>
                </w:p>
              </w:tc>
              <w:tc>
                <w:tcPr>
                  <w:tcW w:w="151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0173" w:rsidRDefault="00020173" w:rsidP="00B3438F">
                  <w:pP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 w:hint="eastAsia"/>
                      <w:b/>
                      <w:sz w:val="24"/>
                      <w:szCs w:val="24"/>
                    </w:rPr>
                    <w:t>安盛集团的市场份额</w:t>
                  </w:r>
                </w:p>
              </w:tc>
              <w:tc>
                <w:tcPr>
                  <w:tcW w:w="151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0173" w:rsidRDefault="00020173" w:rsidP="00B3438F">
                  <w:pP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 w:hint="eastAsia"/>
                      <w:b/>
                      <w:sz w:val="24"/>
                      <w:szCs w:val="24"/>
                    </w:rPr>
                    <w:t>安盛天平的市场份额</w:t>
                  </w:r>
                </w:p>
              </w:tc>
              <w:tc>
                <w:tcPr>
                  <w:tcW w:w="14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0173" w:rsidRDefault="00020173" w:rsidP="00B3438F">
                  <w:pP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 w:hint="eastAsia"/>
                      <w:b/>
                      <w:sz w:val="24"/>
                      <w:szCs w:val="24"/>
                    </w:rPr>
                    <w:t>双方合计</w:t>
                  </w:r>
                </w:p>
              </w:tc>
            </w:tr>
            <w:tr w:rsidR="00020173" w:rsidTr="00B3438F">
              <w:tc>
                <w:tcPr>
                  <w:tcW w:w="225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0173" w:rsidRDefault="00020173" w:rsidP="00B3438F">
                  <w:pP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 w:hint="eastAsia"/>
                      <w:sz w:val="24"/>
                      <w:szCs w:val="24"/>
                    </w:rPr>
                    <w:t>在中华人民共和国的非人寿保险产品</w:t>
                  </w:r>
                </w:p>
              </w:tc>
              <w:tc>
                <w:tcPr>
                  <w:tcW w:w="151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0173" w:rsidRDefault="00020173" w:rsidP="00B3438F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[0.1-1]%</w:t>
                  </w:r>
                </w:p>
              </w:tc>
              <w:tc>
                <w:tcPr>
                  <w:tcW w:w="151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0173" w:rsidRDefault="00020173" w:rsidP="00B3438F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[0.1-1]%</w:t>
                  </w:r>
                </w:p>
              </w:tc>
              <w:tc>
                <w:tcPr>
                  <w:tcW w:w="14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0173" w:rsidRDefault="00020173" w:rsidP="00B3438F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[0.1-1]%</w:t>
                  </w:r>
                </w:p>
              </w:tc>
            </w:tr>
            <w:tr w:rsidR="00020173" w:rsidTr="00B3438F">
              <w:tc>
                <w:tcPr>
                  <w:tcW w:w="1192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0173" w:rsidRDefault="00020173" w:rsidP="00B3438F">
                  <w:pPr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 w:hint="eastAsia"/>
                      <w:sz w:val="24"/>
                      <w:szCs w:val="24"/>
                    </w:rPr>
                    <w:t>在中华人民共和国的非人寿保险产品分类市场</w:t>
                  </w:r>
                </w:p>
              </w:tc>
              <w:tc>
                <w:tcPr>
                  <w:tcW w:w="107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0173" w:rsidRDefault="00020173" w:rsidP="00B3438F">
                  <w:pPr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 w:hint="eastAsia"/>
                      <w:sz w:val="24"/>
                      <w:szCs w:val="24"/>
                    </w:rPr>
                    <w:t>财产和意外伤害保险</w:t>
                  </w:r>
                </w:p>
              </w:tc>
              <w:tc>
                <w:tcPr>
                  <w:tcW w:w="151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0173" w:rsidRDefault="00020173" w:rsidP="00B3438F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[0.1-1]%</w:t>
                  </w:r>
                </w:p>
              </w:tc>
              <w:tc>
                <w:tcPr>
                  <w:tcW w:w="15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0173" w:rsidRDefault="00020173" w:rsidP="00B3438F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[0.1-1]%</w:t>
                  </w:r>
                </w:p>
              </w:tc>
              <w:tc>
                <w:tcPr>
                  <w:tcW w:w="14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0173" w:rsidRDefault="00020173" w:rsidP="00B3438F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[0.1-1]%</w:t>
                  </w:r>
                </w:p>
              </w:tc>
            </w:tr>
            <w:tr w:rsidR="00020173" w:rsidTr="00B3438F">
              <w:tc>
                <w:tcPr>
                  <w:tcW w:w="0" w:type="auto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20173" w:rsidRDefault="00020173" w:rsidP="00B3438F">
                  <w:pPr>
                    <w:widowControl/>
                    <w:jc w:val="left"/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07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0173" w:rsidRDefault="00020173" w:rsidP="00B3438F">
                  <w:pPr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 w:hint="eastAsia"/>
                      <w:sz w:val="24"/>
                      <w:szCs w:val="24"/>
                    </w:rPr>
                    <w:t>人身意外伤害保险</w:t>
                  </w:r>
                </w:p>
              </w:tc>
              <w:tc>
                <w:tcPr>
                  <w:tcW w:w="151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0173" w:rsidRDefault="00020173" w:rsidP="00B3438F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[0.1-1]%</w:t>
                  </w:r>
                </w:p>
              </w:tc>
              <w:tc>
                <w:tcPr>
                  <w:tcW w:w="15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0173" w:rsidRDefault="00020173" w:rsidP="00B3438F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[0.1-1]%</w:t>
                  </w:r>
                </w:p>
              </w:tc>
              <w:tc>
                <w:tcPr>
                  <w:tcW w:w="14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0173" w:rsidRDefault="00020173" w:rsidP="00B3438F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[0.1-1]%</w:t>
                  </w:r>
                </w:p>
              </w:tc>
            </w:tr>
            <w:tr w:rsidR="00020173" w:rsidTr="00B3438F">
              <w:tc>
                <w:tcPr>
                  <w:tcW w:w="0" w:type="auto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20173" w:rsidRDefault="00020173" w:rsidP="00B3438F">
                  <w:pPr>
                    <w:widowControl/>
                    <w:jc w:val="left"/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07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0173" w:rsidRDefault="00020173" w:rsidP="00B3438F">
                  <w:pPr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 w:hint="eastAsia"/>
                      <w:sz w:val="24"/>
                      <w:szCs w:val="24"/>
                    </w:rPr>
                    <w:t>短期健康保险</w:t>
                  </w:r>
                </w:p>
              </w:tc>
              <w:tc>
                <w:tcPr>
                  <w:tcW w:w="151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0173" w:rsidRDefault="00020173" w:rsidP="00B3438F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[1-5]%</w:t>
                  </w:r>
                </w:p>
              </w:tc>
              <w:tc>
                <w:tcPr>
                  <w:tcW w:w="15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0173" w:rsidRDefault="00020173" w:rsidP="00B3438F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[0.1-1]%</w:t>
                  </w:r>
                </w:p>
              </w:tc>
              <w:tc>
                <w:tcPr>
                  <w:tcW w:w="14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0173" w:rsidRDefault="00020173" w:rsidP="00B3438F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[1-5]%</w:t>
                  </w:r>
                </w:p>
              </w:tc>
            </w:tr>
            <w:tr w:rsidR="00020173" w:rsidTr="00B3438F">
              <w:tc>
                <w:tcPr>
                  <w:tcW w:w="1192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0173" w:rsidRDefault="00020173" w:rsidP="00B3438F">
                  <w:pPr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 w:hint="eastAsia"/>
                      <w:sz w:val="24"/>
                      <w:szCs w:val="24"/>
                    </w:rPr>
                    <w:t>再保险</w:t>
                  </w:r>
                </w:p>
              </w:tc>
              <w:tc>
                <w:tcPr>
                  <w:tcW w:w="10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0173" w:rsidRDefault="00020173" w:rsidP="00B3438F">
                  <w:pPr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 w:hint="eastAsia"/>
                      <w:sz w:val="24"/>
                      <w:szCs w:val="24"/>
                    </w:rPr>
                    <w:t>中华人民共和国</w:t>
                  </w:r>
                </w:p>
              </w:tc>
              <w:tc>
                <w:tcPr>
                  <w:tcW w:w="151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0173" w:rsidRDefault="00020173" w:rsidP="00B3438F">
                  <w:pPr>
                    <w:rPr>
                      <w:rFonts w:ascii="Arial" w:hAnsi="Arial" w:cs="Arial"/>
                      <w:szCs w:val="21"/>
                      <w:highlight w:val="yellow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[0.1-1]%</w:t>
                  </w:r>
                </w:p>
              </w:tc>
              <w:tc>
                <w:tcPr>
                  <w:tcW w:w="151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0173" w:rsidRDefault="00020173" w:rsidP="00B3438F">
                  <w:pPr>
                    <w:rPr>
                      <w:rFonts w:ascii="Arial" w:hAnsi="Arial" w:cs="Arial"/>
                      <w:szCs w:val="21"/>
                      <w:highlight w:val="yellow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[0.1-1]%</w:t>
                  </w:r>
                </w:p>
              </w:tc>
              <w:tc>
                <w:tcPr>
                  <w:tcW w:w="14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0173" w:rsidRDefault="00020173" w:rsidP="00B3438F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[0.1-1]%</w:t>
                  </w:r>
                </w:p>
              </w:tc>
            </w:tr>
            <w:tr w:rsidR="00020173" w:rsidTr="00B3438F">
              <w:tc>
                <w:tcPr>
                  <w:tcW w:w="0" w:type="auto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20173" w:rsidRDefault="00020173" w:rsidP="00B3438F">
                  <w:pPr>
                    <w:widowControl/>
                    <w:jc w:val="left"/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0173" w:rsidRDefault="00020173" w:rsidP="00B3438F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eastAsia="仿宋_GB2312" w:hAnsi="Arial" w:cs="Arial" w:hint="eastAsia"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151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0173" w:rsidRDefault="00020173" w:rsidP="00B3438F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[1-5]%</w:t>
                  </w:r>
                </w:p>
              </w:tc>
              <w:tc>
                <w:tcPr>
                  <w:tcW w:w="151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0173" w:rsidRDefault="00020173" w:rsidP="00B3438F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[1-5]%</w:t>
                  </w:r>
                </w:p>
              </w:tc>
              <w:tc>
                <w:tcPr>
                  <w:tcW w:w="14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20173" w:rsidRDefault="00020173" w:rsidP="00B3438F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[1-5]%</w:t>
                  </w:r>
                </w:p>
              </w:tc>
            </w:tr>
          </w:tbl>
          <w:p w:rsidR="00020173" w:rsidRDefault="00020173" w:rsidP="00B3438F">
            <w:pPr>
              <w:spacing w:line="500" w:lineRule="exact"/>
              <w:rPr>
                <w:rFonts w:ascii="Arial" w:eastAsia="PMingLiU" w:hAnsi="Arial" w:cs="Arial" w:hint="eastAsia"/>
                <w:sz w:val="24"/>
                <w:szCs w:val="24"/>
                <w:lang w:val="en-GB" w:eastAsia="zh-TW"/>
              </w:rPr>
            </w:pPr>
          </w:p>
        </w:tc>
      </w:tr>
    </w:tbl>
    <w:p w:rsidR="00020173" w:rsidRDefault="00020173" w:rsidP="00020173">
      <w:pPr>
        <w:snapToGrid w:val="0"/>
        <w:spacing w:line="240" w:lineRule="exact"/>
        <w:jc w:val="left"/>
        <w:rPr>
          <w:rFonts w:ascii="Arial" w:eastAsia="楷体_GB2312" w:hAnsi="Arial" w:cs="Arial"/>
          <w:sz w:val="24"/>
          <w:szCs w:val="24"/>
        </w:rPr>
      </w:pPr>
    </w:p>
    <w:p w:rsidR="00020173" w:rsidRDefault="00020173" w:rsidP="00020173">
      <w:pPr>
        <w:snapToGrid w:val="0"/>
        <w:spacing w:line="240" w:lineRule="exact"/>
        <w:jc w:val="left"/>
        <w:rPr>
          <w:rFonts w:ascii="Arial" w:eastAsia="楷体_GB2312" w:hAnsi="Arial" w:cs="Arial"/>
          <w:sz w:val="24"/>
          <w:szCs w:val="24"/>
        </w:rPr>
      </w:pPr>
      <w:r>
        <w:rPr>
          <w:rFonts w:ascii="Arial" w:eastAsia="楷体_GB2312" w:hAnsi="Arial" w:cs="Arial" w:hint="eastAsia"/>
          <w:sz w:val="24"/>
          <w:szCs w:val="24"/>
        </w:rPr>
        <w:t>注解：</w:t>
      </w:r>
    </w:p>
    <w:p w:rsidR="00020173" w:rsidRDefault="00020173" w:rsidP="00020173">
      <w:pPr>
        <w:snapToGrid w:val="0"/>
        <w:spacing w:line="360" w:lineRule="auto"/>
        <w:ind w:firstLineChars="200" w:firstLine="480"/>
        <w:jc w:val="left"/>
        <w:rPr>
          <w:rFonts w:ascii="Arial" w:eastAsia="楷体_GB2312" w:hAnsi="Arial" w:cs="Arial"/>
          <w:sz w:val="24"/>
          <w:szCs w:val="24"/>
        </w:rPr>
      </w:pPr>
      <w:r>
        <w:rPr>
          <w:rFonts w:ascii="Arial" w:eastAsia="楷体_GB2312" w:hAnsi="Arial" w:cs="Arial"/>
          <w:sz w:val="24"/>
          <w:szCs w:val="24"/>
        </w:rPr>
        <w:t>1</w:t>
      </w:r>
      <w:r>
        <w:rPr>
          <w:rFonts w:ascii="Arial" w:eastAsia="楷体_GB2312" w:hAnsi="Arial" w:cs="Arial" w:hint="eastAsia"/>
          <w:sz w:val="24"/>
          <w:szCs w:val="24"/>
        </w:rPr>
        <w:t>、申报方申请简易案件的理由是基于</w:t>
      </w:r>
      <w:r>
        <w:rPr>
          <w:rFonts w:ascii="Arial" w:eastAsia="楷体_GB2312" w:hAnsi="Arial" w:cs="Arial"/>
          <w:sz w:val="24"/>
          <w:szCs w:val="24"/>
        </w:rPr>
        <w:t>1-3</w:t>
      </w:r>
      <w:r>
        <w:rPr>
          <w:rFonts w:ascii="Arial" w:eastAsia="楷体_GB2312" w:hAnsi="Arial" w:cs="Arial" w:hint="eastAsia"/>
          <w:sz w:val="24"/>
          <w:szCs w:val="24"/>
        </w:rPr>
        <w:t>项时，须在备注中说明界定的相关商品市场和相关地域市场（无须阐述界定理由），以及相关市场份额；市场份</w:t>
      </w:r>
      <w:r>
        <w:rPr>
          <w:rFonts w:ascii="Arial" w:eastAsia="楷体_GB2312" w:hAnsi="Arial" w:cs="Arial" w:hint="eastAsia"/>
          <w:sz w:val="24"/>
          <w:szCs w:val="24"/>
        </w:rPr>
        <w:lastRenderedPageBreak/>
        <w:t>额可以区间形式提供，区间幅度不应超过</w:t>
      </w:r>
      <w:r>
        <w:rPr>
          <w:rFonts w:ascii="Arial" w:eastAsia="楷体_GB2312" w:hAnsi="Arial" w:cs="Arial"/>
          <w:sz w:val="24"/>
          <w:szCs w:val="24"/>
        </w:rPr>
        <w:t>5%</w:t>
      </w:r>
      <w:r>
        <w:rPr>
          <w:rFonts w:ascii="Arial" w:eastAsia="楷体_GB2312" w:hAnsi="Arial" w:cs="Arial" w:hint="eastAsia"/>
          <w:sz w:val="24"/>
          <w:szCs w:val="24"/>
        </w:rPr>
        <w:t>。</w:t>
      </w:r>
      <w:r>
        <w:rPr>
          <w:rFonts w:ascii="Arial" w:eastAsia="楷体_GB2312" w:hAnsi="Arial" w:cs="Arial"/>
          <w:sz w:val="24"/>
          <w:szCs w:val="24"/>
        </w:rPr>
        <w:t>1-3</w:t>
      </w:r>
      <w:r>
        <w:rPr>
          <w:rFonts w:ascii="Arial" w:eastAsia="楷体_GB2312" w:hAnsi="Arial" w:cs="Arial" w:hint="eastAsia"/>
          <w:sz w:val="24"/>
          <w:szCs w:val="24"/>
        </w:rPr>
        <w:t>项可以多选，也可单选；没有勾选的，视为本集中不涉及该类型交易。</w:t>
      </w:r>
    </w:p>
    <w:p w:rsidR="00020173" w:rsidRDefault="00020173" w:rsidP="00020173">
      <w:pPr>
        <w:spacing w:line="360" w:lineRule="auto"/>
        <w:ind w:firstLineChars="200" w:firstLine="480"/>
        <w:rPr>
          <w:rFonts w:ascii="Arial" w:eastAsia="楷体_GB2312" w:hAnsi="Arial" w:cs="Arial"/>
          <w:sz w:val="28"/>
          <w:szCs w:val="28"/>
        </w:rPr>
      </w:pPr>
      <w:r>
        <w:rPr>
          <w:rFonts w:ascii="Arial" w:eastAsia="楷体_GB2312" w:hAnsi="Arial" w:cs="Arial"/>
          <w:sz w:val="24"/>
          <w:szCs w:val="24"/>
        </w:rPr>
        <w:t>2</w:t>
      </w:r>
      <w:r>
        <w:rPr>
          <w:rFonts w:ascii="Arial" w:eastAsia="楷体_GB2312" w:hAnsi="Arial" w:cs="Arial" w:hint="eastAsia"/>
          <w:sz w:val="24"/>
          <w:szCs w:val="24"/>
        </w:rPr>
        <w:t>、申报方申请简易案件的理由是基于第</w:t>
      </w:r>
      <w:r>
        <w:rPr>
          <w:rFonts w:ascii="Arial" w:eastAsia="楷体_GB2312" w:hAnsi="Arial" w:cs="Arial"/>
          <w:sz w:val="24"/>
          <w:szCs w:val="24"/>
        </w:rPr>
        <w:t>4</w:t>
      </w:r>
      <w:r>
        <w:rPr>
          <w:rFonts w:ascii="Arial" w:eastAsia="楷体_GB2312" w:hAnsi="Arial" w:cs="Arial" w:hint="eastAsia"/>
          <w:sz w:val="24"/>
          <w:szCs w:val="24"/>
        </w:rPr>
        <w:t>项、第</w:t>
      </w:r>
      <w:r>
        <w:rPr>
          <w:rFonts w:ascii="Arial" w:eastAsia="楷体_GB2312" w:hAnsi="Arial" w:cs="Arial"/>
          <w:sz w:val="24"/>
          <w:szCs w:val="24"/>
        </w:rPr>
        <w:t>5</w:t>
      </w:r>
      <w:r>
        <w:rPr>
          <w:rFonts w:ascii="Arial" w:eastAsia="楷体_GB2312" w:hAnsi="Arial" w:cs="Arial" w:hint="eastAsia"/>
          <w:sz w:val="24"/>
          <w:szCs w:val="24"/>
        </w:rPr>
        <w:t>项时，无须在备注中说明相关市场和市场份额。</w:t>
      </w:r>
      <w:r>
        <w:rPr>
          <w:rFonts w:ascii="Arial" w:eastAsia="楷体_GB2312" w:hAnsi="Arial" w:cs="Arial"/>
          <w:sz w:val="24"/>
          <w:szCs w:val="24"/>
        </w:rPr>
        <w:br/>
        <w:t xml:space="preserve">    3</w:t>
      </w:r>
      <w:r>
        <w:rPr>
          <w:rFonts w:ascii="Arial" w:eastAsia="楷体_GB2312" w:hAnsi="Arial" w:cs="Arial" w:hint="eastAsia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>
        <w:rPr>
          <w:rFonts w:ascii="Arial" w:eastAsia="楷体_GB2312" w:hAnsi="Arial" w:cs="Arial"/>
          <w:sz w:val="24"/>
          <w:szCs w:val="24"/>
        </w:rPr>
        <w:t>1</w:t>
      </w:r>
      <w:r>
        <w:rPr>
          <w:rFonts w:ascii="Arial" w:eastAsia="楷体_GB2312" w:hAnsi="Arial" w:cs="Arial" w:hint="eastAsia"/>
          <w:sz w:val="24"/>
          <w:szCs w:val="24"/>
        </w:rPr>
        <w:t>项和第</w:t>
      </w:r>
      <w:r>
        <w:rPr>
          <w:rFonts w:ascii="Arial" w:eastAsia="楷体_GB2312" w:hAnsi="Arial" w:cs="Arial"/>
          <w:sz w:val="24"/>
          <w:szCs w:val="24"/>
        </w:rPr>
        <w:t>6</w:t>
      </w:r>
      <w:r>
        <w:rPr>
          <w:rFonts w:ascii="Arial" w:eastAsia="楷体_GB2312" w:hAnsi="Arial" w:cs="Arial" w:hint="eastAsia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>
        <w:rPr>
          <w:rFonts w:ascii="Arial" w:eastAsia="楷体_GB2312" w:hAnsi="Arial" w:cs="Arial"/>
          <w:sz w:val="24"/>
          <w:szCs w:val="24"/>
        </w:rPr>
        <w:t>5%</w:t>
      </w:r>
      <w:r>
        <w:rPr>
          <w:rFonts w:ascii="Arial" w:eastAsia="楷体_GB2312" w:hAnsi="Arial" w:cs="Arial" w:hint="eastAsia"/>
          <w:sz w:val="24"/>
          <w:szCs w:val="24"/>
        </w:rPr>
        <w:t>。</w:t>
      </w:r>
    </w:p>
    <w:p w:rsidR="00020173" w:rsidRDefault="00020173" w:rsidP="00020173">
      <w:pPr>
        <w:rPr>
          <w:rFonts w:ascii="Arial" w:hAnsi="Arial" w:cs="Arial"/>
        </w:rPr>
      </w:pPr>
    </w:p>
    <w:p w:rsidR="00020173" w:rsidRDefault="00020173" w:rsidP="00020173">
      <w:pPr>
        <w:rPr>
          <w:rFonts w:ascii="Arial" w:hAnsi="Arial" w:cs="Arial"/>
        </w:rPr>
      </w:pPr>
    </w:p>
    <w:p w:rsidR="006053BF" w:rsidRDefault="006053BF">
      <w:bookmarkStart w:id="0" w:name="_GoBack"/>
      <w:bookmarkEnd w:id="0"/>
    </w:p>
    <w:sectPr w:rsidR="006053BF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35CF" w:rsidRDefault="008135CF" w:rsidP="00020173">
      <w:r>
        <w:separator/>
      </w:r>
    </w:p>
  </w:endnote>
  <w:endnote w:type="continuationSeparator" w:id="0">
    <w:p w:rsidR="008135CF" w:rsidRDefault="008135CF" w:rsidP="000201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7DD9" w:rsidRDefault="00020173">
    <w:pPr>
      <w:pStyle w:val="a4"/>
      <w:spacing w:before="560"/>
    </w:pPr>
    <w:r>
      <w:rPr>
        <w:noProof/>
      </w:rPr>
      <mc:AlternateContent>
        <mc:Choice Requires="wps">
          <w:drawing>
            <wp:anchor distT="360045" distB="0" distL="114300" distR="114300" simplePos="0" relativeHeight="251659264" behindDoc="0" locked="1" layoutInCell="1" allowOverlap="1">
              <wp:simplePos x="0" y="0"/>
              <wp:positionH relativeFrom="margin">
                <wp:posOffset>4445</wp:posOffset>
              </wp:positionH>
              <wp:positionV relativeFrom="paragraph">
                <wp:posOffset>1270</wp:posOffset>
              </wp:positionV>
              <wp:extent cx="6120130" cy="612140"/>
              <wp:effectExtent l="0" t="0" r="13970" b="16510"/>
              <wp:wrapNone/>
              <wp:docPr id="24" name="文本框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0130" cy="612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47DD9" w:rsidRDefault="008135CF">
                          <w:pPr>
                            <w:pStyle w:val="DocsID"/>
                            <w:spacing w:before="560"/>
                          </w:pPr>
                          <w:r>
                            <w:t>HOK-#15239602-v3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4" o:spid="_x0000_s1026" type="#_x0000_t202" style="position:absolute;margin-left:.35pt;margin-top:.1pt;width:481.9pt;height:48.2pt;z-index:251659264;visibility:visible;mso-wrap-style:square;mso-width-percent:0;mso-height-percent:0;mso-wrap-distance-left:9pt;mso-wrap-distance-top:28.35pt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" filled="f" stroked="f">
              <v:textbox inset="0,0,0,0">
                <w:txbxContent>
                  <w:p w:rsidR="00447DD9" w:rsidRDefault="008135CF">
                    <w:pPr>
                      <w:pStyle w:val="DocsID"/>
                      <w:spacing w:before="560"/>
                    </w:pPr>
                    <w:r>
                      <w:t>HOK-#15239602-v3</w:t>
                    </w:r>
                  </w:p>
                </w:txbxContent>
              </v:textbox>
              <w10:wrap anchorx="margin"/>
              <w10:anchorlock/>
            </v:shape>
          </w:pict>
        </mc:Fallback>
      </mc:AlternateContent>
    </w:r>
    <w:r w:rsidR="008135CF"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35CF" w:rsidRDefault="008135CF" w:rsidP="00020173">
      <w:r>
        <w:separator/>
      </w:r>
    </w:p>
  </w:footnote>
  <w:footnote w:type="continuationSeparator" w:id="0">
    <w:p w:rsidR="008135CF" w:rsidRDefault="008135CF" w:rsidP="000201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7DD9" w:rsidRDefault="008135CF">
    <w:pPr>
      <w:pStyle w:val="a3"/>
      <w:pBdr>
        <w:bottom w:val="none" w:sz="0" w:space="0" w:color="auto"/>
      </w:pBdr>
      <w:jc w:val="right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77E8"/>
    <w:rsid w:val="00020173"/>
    <w:rsid w:val="006053BF"/>
    <w:rsid w:val="008135CF"/>
    <w:rsid w:val="0096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29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29"/>
    <w:unhideWhenUsed/>
    <w:qFormat/>
    <w:rsid w:val="0002017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201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2017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2017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20173"/>
    <w:rPr>
      <w:sz w:val="18"/>
      <w:szCs w:val="18"/>
    </w:rPr>
  </w:style>
  <w:style w:type="paragraph" w:customStyle="1" w:styleId="DocsID">
    <w:name w:val="DocsID"/>
    <w:basedOn w:val="a"/>
    <w:uiPriority w:val="29"/>
    <w:qFormat/>
    <w:rsid w:val="00020173"/>
    <w:pPr>
      <w:widowControl/>
      <w:spacing w:before="20"/>
      <w:jc w:val="left"/>
    </w:pPr>
    <w:rPr>
      <w:rFonts w:ascii="Arial" w:eastAsia="Times New Roman" w:hAnsi="Arial"/>
      <w:kern w:val="0"/>
      <w:sz w:val="16"/>
      <w:szCs w:val="20"/>
      <w:lang w:val="en-GB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29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29"/>
    <w:unhideWhenUsed/>
    <w:qFormat/>
    <w:rsid w:val="0002017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201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2017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2017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20173"/>
    <w:rPr>
      <w:sz w:val="18"/>
      <w:szCs w:val="18"/>
    </w:rPr>
  </w:style>
  <w:style w:type="paragraph" w:customStyle="1" w:styleId="DocsID">
    <w:name w:val="DocsID"/>
    <w:basedOn w:val="a"/>
    <w:uiPriority w:val="29"/>
    <w:qFormat/>
    <w:rsid w:val="00020173"/>
    <w:pPr>
      <w:widowControl/>
      <w:spacing w:before="20"/>
      <w:jc w:val="left"/>
    </w:pPr>
    <w:rPr>
      <w:rFonts w:ascii="Arial" w:eastAsia="Times New Roman" w:hAnsi="Arial"/>
      <w:kern w:val="0"/>
      <w:sz w:val="16"/>
      <w:szCs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230</Words>
  <Characters>1314</Characters>
  <Application>Microsoft Office Word</Application>
  <DocSecurity>0</DocSecurity>
  <Lines>10</Lines>
  <Paragraphs>3</Paragraphs>
  <ScaleCrop>false</ScaleCrop>
  <Company>Microsoft</Company>
  <LinksUpToDate>false</LinksUpToDate>
  <CharactersWithSpaces>1541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NTKO</dc:creator>
  <cp:keywords/>
  <dc:description/>
  <cp:lastModifiedBy>NTKO</cp:lastModifiedBy>
  <cp:revision>2</cp:revision>
  <dcterms:created xsi:type="dcterms:W3CDTF">2019-04-19T01:59:00Z</dcterms:created>
  <dcterms:modified xsi:type="dcterms:W3CDTF">2019-04-19T02:00:00Z</dcterms:modified>
</cp:coreProperties>
</file>