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Times New Roman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3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绿城房地产集团有限公司与MFHK Investment Limited新设合营企业案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绿城房地产集团有限公司（以下简称“绿城房地产”）与MFHK Investment Limited（以下简称“MFHK”）在南通市共同出资设立南通创宇置业有限公司（以下简称“合资公司”）。合资公司主要经营范围为房地产开发与销售。绿城房地产持有合资公司60%的股权；MFHK持有合资公司40%的股权。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本交易完成后，绿城房地产和MFHK对合资公司获得共同的控制权。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1、绿城房地产</w:t>
            </w:r>
          </w:p>
        </w:tc>
        <w:tc>
          <w:tcPr>
            <w:tcW w:w="5153" w:type="dxa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绿城房地产成立于1995年1月6日，主要经营业务为房地产开发、经营、管理。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2、MFHK</w:t>
            </w:r>
          </w:p>
        </w:tc>
        <w:tc>
          <w:tcPr>
            <w:tcW w:w="5153" w:type="dxa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MFHK成立于2014年12月1日，主要从事商品住房的开发和销售业务、和商业地产业务（包括商业地产承租经营业务、商业地产投资开发业务）。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黑体"/>
                <w:sz w:val="28"/>
                <w:szCs w:val="21"/>
              </w:rPr>
              <w:sym w:font="Wingdings" w:char="F0FE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top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  <w:vAlign w:val="top"/>
          </w:tcPr>
          <w:p>
            <w:pPr>
              <w:pStyle w:val="4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商品住宅开发销售（南通市场）</w:t>
            </w:r>
          </w:p>
          <w:p>
            <w:pPr>
              <w:pStyle w:val="4"/>
              <w:ind w:left="420" w:firstLine="0" w:firstLineChars="0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绿城房地产     [2%-3%]</w:t>
            </w:r>
          </w:p>
          <w:p>
            <w:pPr>
              <w:pStyle w:val="4"/>
              <w:ind w:left="420" w:firstLine="0" w:firstLineChars="0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MFHK           0%</w:t>
            </w:r>
          </w:p>
          <w:p>
            <w:pPr>
              <w:pStyle w:val="4"/>
              <w:ind w:left="420" w:firstLine="0" w:firstLineChars="0"/>
              <w:rPr>
                <w:rFonts w:hint="eastAsia"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合资公司       [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6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%-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7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%]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（预估）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Times New Roman" w:hAnsi="Times New Roman" w:eastAsia="楷体_GB2312"/>
          <w:sz w:val="24"/>
          <w:szCs w:val="24"/>
        </w:rPr>
      </w:pPr>
      <w:r>
        <w:rPr>
          <w:rFonts w:ascii="Times New Roman" w:hAnsi="Times New Roman" w:eastAsia="楷体_GB2312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Times New Roman" w:hAnsi="Times New Roman" w:eastAsia="楷体_GB2312"/>
          <w:sz w:val="24"/>
          <w:szCs w:val="24"/>
        </w:rPr>
      </w:pPr>
      <w:r>
        <w:rPr>
          <w:rFonts w:ascii="Times New Roman" w:hAnsi="Times New Roman" w:eastAsia="楷体_GB2312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Times New Roman" w:hAnsi="Times New Roman" w:eastAsia="楷体_GB2312"/>
          <w:sz w:val="28"/>
          <w:szCs w:val="28"/>
        </w:rPr>
      </w:pPr>
      <w:r>
        <w:rPr>
          <w:rFonts w:ascii="Times New Roman" w:hAnsi="Times New Roman" w:eastAsia="楷体_GB2312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Times New Roman" w:hAnsi="Times New Roman" w:eastAsia="楷体_GB2312"/>
          <w:sz w:val="24"/>
          <w:szCs w:val="24"/>
        </w:rPr>
        <w:br w:type="textWrapping"/>
      </w:r>
      <w:r>
        <w:rPr>
          <w:rFonts w:ascii="Times New Roman" w:hAnsi="Times New Roman" w:eastAsia="楷体_GB2312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Times New Roman" w:hAnsi="Times New Roman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D25CEA"/>
    <w:multiLevelType w:val="multilevel"/>
    <w:tmpl w:val="71D25CEA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AC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2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Office_10.8.0.6157_F1E327BC-269C-435d-A152-05C5408002CA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2019-05-21T05:08:29Z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