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华文楷体"/>
          <w:b/>
          <w:sz w:val="30"/>
          <w:szCs w:val="30"/>
        </w:rPr>
      </w:pPr>
      <w:r>
        <w:rPr>
          <w:rFonts w:ascii="Times New Roman" w:hAnsi="Times New Roman" w:eastAsia="华文楷体"/>
          <w:b/>
          <w:sz w:val="30"/>
          <w:szCs w:val="30"/>
        </w:rPr>
        <w:t>经营者集中简易案件公示表</w:t>
      </w:r>
    </w:p>
    <w:p>
      <w:pPr>
        <w:spacing w:line="440" w:lineRule="exact"/>
        <w:rPr>
          <w:rFonts w:ascii="Times New Roman" w:hAnsi="Times New Roman" w:eastAsia="华文楷体"/>
          <w:sz w:val="28"/>
          <w:szCs w:val="28"/>
        </w:rPr>
      </w:pPr>
    </w:p>
    <w:p>
      <w:pPr>
        <w:spacing w:line="440" w:lineRule="exact"/>
        <w:ind w:firstLine="845" w:firstLineChars="302"/>
        <w:rPr>
          <w:rFonts w:ascii="Times New Roman" w:hAnsi="Times New Roman" w:eastAsia="华文楷体"/>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top"/>
          </w:tcPr>
          <w:p>
            <w:pPr>
              <w:adjustRightInd w:val="0"/>
              <w:snapToGrid w:val="0"/>
              <w:spacing w:before="120" w:after="120" w:line="276" w:lineRule="auto"/>
              <w:rPr>
                <w:rFonts w:ascii="Times New Roman" w:hAnsi="Times New Roman" w:eastAsia="华文楷体"/>
                <w:sz w:val="24"/>
                <w:szCs w:val="24"/>
              </w:rPr>
            </w:pPr>
            <w:r>
              <w:rPr>
                <w:rFonts w:ascii="Times New Roman" w:hAnsi="Times New Roman" w:eastAsia="华文楷体"/>
                <w:sz w:val="24"/>
                <w:szCs w:val="24"/>
              </w:rPr>
              <w:t>案件名称</w:t>
            </w:r>
          </w:p>
        </w:tc>
        <w:tc>
          <w:tcPr>
            <w:tcW w:w="6949" w:type="dxa"/>
            <w:gridSpan w:val="2"/>
            <w:vAlign w:val="top"/>
          </w:tcPr>
          <w:p>
            <w:pPr>
              <w:adjustRightInd w:val="0"/>
              <w:snapToGrid w:val="0"/>
              <w:spacing w:before="120" w:after="120" w:line="276" w:lineRule="auto"/>
              <w:rPr>
                <w:rFonts w:ascii="Times New Roman" w:hAnsi="Times New Roman" w:eastAsia="华文楷体"/>
                <w:sz w:val="24"/>
                <w:szCs w:val="24"/>
              </w:rPr>
            </w:pPr>
            <w:r>
              <w:rPr>
                <w:rFonts w:hint="eastAsia" w:ascii="Times New Roman" w:hAnsi="Times New Roman" w:eastAsia="华文楷体"/>
                <w:sz w:val="24"/>
                <w:szCs w:val="24"/>
              </w:rPr>
              <w:t>加拿大养老金计划投资委员会、安大略省教师退休基金会委员会、美国华平投资集团和安佰深合伙人有限责任合伙收购国际海事卫星组织有限公司股权案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top"/>
          </w:tcPr>
          <w:p>
            <w:pPr>
              <w:adjustRightInd w:val="0"/>
              <w:snapToGrid w:val="0"/>
              <w:spacing w:before="120" w:after="120" w:line="276" w:lineRule="auto"/>
              <w:rPr>
                <w:rFonts w:ascii="Times New Roman" w:hAnsi="Times New Roman" w:eastAsia="华文楷体"/>
                <w:sz w:val="24"/>
                <w:szCs w:val="24"/>
              </w:rPr>
            </w:pPr>
            <w:r>
              <w:rPr>
                <w:rFonts w:ascii="Times New Roman" w:hAnsi="Times New Roman" w:eastAsia="华文楷体"/>
                <w:sz w:val="24"/>
                <w:szCs w:val="24"/>
              </w:rPr>
              <w:t>交易概况（限200字内）</w:t>
            </w:r>
          </w:p>
        </w:tc>
        <w:tc>
          <w:tcPr>
            <w:tcW w:w="6949" w:type="dxa"/>
            <w:gridSpan w:val="2"/>
            <w:vAlign w:val="top"/>
          </w:tcPr>
          <w:p>
            <w:pPr>
              <w:adjustRightInd w:val="0"/>
              <w:snapToGrid w:val="0"/>
              <w:spacing w:before="120" w:after="120" w:line="276" w:lineRule="auto"/>
              <w:rPr>
                <w:rFonts w:hint="eastAsia" w:ascii="Times New Roman" w:hAnsi="Times New Roman" w:eastAsia="华文楷体"/>
                <w:sz w:val="24"/>
                <w:szCs w:val="24"/>
              </w:rPr>
            </w:pPr>
            <w:r>
              <w:rPr>
                <w:rFonts w:hint="eastAsia" w:ascii="Times New Roman" w:hAnsi="Times New Roman" w:eastAsia="华文楷体"/>
                <w:sz w:val="24"/>
                <w:szCs w:val="24"/>
                <w:lang w:val="en-GB"/>
              </w:rPr>
              <w:t>本</w:t>
            </w:r>
            <w:r>
              <w:rPr>
                <w:rFonts w:ascii="Times New Roman" w:hAnsi="Times New Roman" w:eastAsia="华文楷体"/>
                <w:sz w:val="24"/>
                <w:szCs w:val="24"/>
                <w:lang w:val="en-GB"/>
              </w:rPr>
              <w:t>交易涉及由</w:t>
            </w:r>
            <w:r>
              <w:rPr>
                <w:rFonts w:hint="eastAsia" w:ascii="Times New Roman" w:hAnsi="Times New Roman" w:eastAsia="华文楷体"/>
                <w:sz w:val="24"/>
                <w:szCs w:val="24"/>
                <w:lang w:val="en-GB"/>
              </w:rPr>
              <w:t>加拿大养老金计划投资委员会(</w:t>
            </w:r>
            <w:r>
              <w:rPr>
                <w:rFonts w:ascii="Times New Roman" w:hAnsi="Times New Roman" w:eastAsia="华文楷体"/>
                <w:sz w:val="24"/>
                <w:szCs w:val="24"/>
                <w:lang w:val="en-GB"/>
              </w:rPr>
              <w:t>“</w:t>
            </w:r>
            <w:r>
              <w:rPr>
                <w:rFonts w:hint="eastAsia" w:ascii="Times New Roman" w:hAnsi="Times New Roman" w:eastAsia="华文楷体"/>
                <w:b/>
                <w:sz w:val="24"/>
                <w:szCs w:val="24"/>
                <w:lang w:val="en-GB"/>
              </w:rPr>
              <w:t>CPPIB</w:t>
            </w:r>
            <w:r>
              <w:rPr>
                <w:rFonts w:ascii="Times New Roman" w:hAnsi="Times New Roman" w:eastAsia="华文楷体"/>
                <w:sz w:val="24"/>
                <w:szCs w:val="24"/>
                <w:lang w:val="en-GB"/>
              </w:rPr>
              <w:t>”</w:t>
            </w:r>
            <w:r>
              <w:rPr>
                <w:rFonts w:hint="eastAsia" w:ascii="Times New Roman" w:hAnsi="Times New Roman" w:eastAsia="华文楷体"/>
                <w:sz w:val="24"/>
                <w:szCs w:val="24"/>
                <w:lang w:val="en-GB"/>
              </w:rPr>
              <w:t>) 、安大略省教师退休基金会委员会(</w:t>
            </w:r>
            <w:r>
              <w:rPr>
                <w:rFonts w:ascii="Times New Roman" w:hAnsi="Times New Roman" w:eastAsia="华文楷体"/>
                <w:sz w:val="24"/>
                <w:szCs w:val="24"/>
                <w:lang w:val="en-GB"/>
              </w:rPr>
              <w:t>“</w:t>
            </w:r>
            <w:r>
              <w:rPr>
                <w:rFonts w:ascii="Times New Roman" w:hAnsi="Times New Roman" w:eastAsia="华文楷体"/>
                <w:b/>
                <w:sz w:val="24"/>
                <w:szCs w:val="24"/>
                <w:lang w:val="en-GB"/>
              </w:rPr>
              <w:t>OTPP</w:t>
            </w:r>
            <w:r>
              <w:rPr>
                <w:rFonts w:ascii="Times New Roman" w:hAnsi="Times New Roman" w:eastAsia="华文楷体"/>
                <w:sz w:val="24"/>
                <w:szCs w:val="24"/>
                <w:lang w:val="en-GB"/>
              </w:rPr>
              <w:t>”</w:t>
            </w:r>
            <w:r>
              <w:rPr>
                <w:rFonts w:hint="eastAsia" w:ascii="Times New Roman" w:hAnsi="Times New Roman" w:eastAsia="华文楷体"/>
                <w:sz w:val="24"/>
                <w:szCs w:val="24"/>
                <w:lang w:val="en-GB"/>
              </w:rPr>
              <w:t>)、</w:t>
            </w:r>
            <w:r>
              <w:rPr>
                <w:rFonts w:hint="eastAsia" w:ascii="Times New Roman" w:hAnsi="Times New Roman" w:eastAsia="华文楷体"/>
                <w:sz w:val="24"/>
                <w:szCs w:val="24"/>
              </w:rPr>
              <w:t>美国华平投资集团(</w:t>
            </w:r>
            <w:r>
              <w:rPr>
                <w:rFonts w:ascii="Times New Roman" w:hAnsi="Times New Roman" w:eastAsia="华文楷体"/>
                <w:sz w:val="24"/>
                <w:szCs w:val="24"/>
              </w:rPr>
              <w:t>“</w:t>
            </w:r>
            <w:r>
              <w:rPr>
                <w:rFonts w:hint="eastAsia" w:ascii="Times New Roman" w:hAnsi="Times New Roman" w:eastAsia="华文楷体"/>
                <w:b/>
                <w:sz w:val="24"/>
                <w:szCs w:val="24"/>
                <w:lang w:val="en-GB"/>
              </w:rPr>
              <w:t>华平投资</w:t>
            </w:r>
            <w:r>
              <w:rPr>
                <w:rFonts w:ascii="Times New Roman" w:hAnsi="Times New Roman" w:eastAsia="华文楷体"/>
                <w:sz w:val="24"/>
                <w:szCs w:val="24"/>
                <w:lang w:val="en-GB"/>
              </w:rPr>
              <w:t>”</w:t>
            </w:r>
            <w:r>
              <w:rPr>
                <w:rFonts w:hint="eastAsia" w:ascii="Times New Roman" w:hAnsi="Times New Roman" w:eastAsia="华文楷体"/>
                <w:sz w:val="24"/>
                <w:szCs w:val="24"/>
                <w:lang w:val="en-GB"/>
              </w:rPr>
              <w:t>)和</w:t>
            </w:r>
            <w:r>
              <w:rPr>
                <w:rFonts w:hint="eastAsia" w:ascii="Times New Roman" w:hAnsi="Times New Roman" w:eastAsia="华文楷体"/>
                <w:sz w:val="24"/>
                <w:szCs w:val="24"/>
              </w:rPr>
              <w:t>安佰深合伙人有限责任合伙(</w:t>
            </w:r>
            <w:r>
              <w:rPr>
                <w:rFonts w:ascii="Times New Roman" w:hAnsi="Times New Roman" w:eastAsia="华文楷体"/>
                <w:sz w:val="24"/>
                <w:szCs w:val="24"/>
              </w:rPr>
              <w:t>“</w:t>
            </w:r>
            <w:r>
              <w:rPr>
                <w:rFonts w:ascii="Times New Roman" w:hAnsi="Times New Roman" w:eastAsia="华文楷体"/>
                <w:b/>
                <w:sz w:val="24"/>
                <w:szCs w:val="24"/>
                <w:lang w:val="en-GB"/>
              </w:rPr>
              <w:t>安佰深</w:t>
            </w:r>
            <w:r>
              <w:rPr>
                <w:rFonts w:ascii="Times New Roman" w:hAnsi="Times New Roman" w:eastAsia="华文楷体"/>
                <w:sz w:val="24"/>
                <w:szCs w:val="24"/>
                <w:lang w:val="en-GB"/>
              </w:rPr>
              <w:t>”</w:t>
            </w:r>
            <w:r>
              <w:rPr>
                <w:rFonts w:hint="eastAsia" w:ascii="Times New Roman" w:hAnsi="Times New Roman" w:eastAsia="华文楷体"/>
                <w:sz w:val="24"/>
                <w:szCs w:val="24"/>
                <w:lang w:val="en-GB"/>
              </w:rPr>
              <w:t>)</w:t>
            </w:r>
            <w:r>
              <w:rPr>
                <w:rFonts w:ascii="Times New Roman" w:hAnsi="Times New Roman" w:eastAsia="华文楷体"/>
                <w:sz w:val="24"/>
                <w:szCs w:val="24"/>
                <w:lang w:val="en-GB"/>
              </w:rPr>
              <w:t>管理并提供咨询服务的投资基金收购</w:t>
            </w:r>
            <w:r>
              <w:rPr>
                <w:rFonts w:hint="eastAsia" w:ascii="Times New Roman" w:hAnsi="Times New Roman" w:eastAsia="华文楷体"/>
                <w:sz w:val="24"/>
                <w:szCs w:val="24"/>
                <w:lang w:val="en-GB"/>
              </w:rPr>
              <w:t>国际海事卫星组织有限公司</w:t>
            </w:r>
            <w:r>
              <w:rPr>
                <w:rFonts w:ascii="Times New Roman" w:hAnsi="Times New Roman" w:eastAsia="华文楷体"/>
                <w:sz w:val="24"/>
                <w:szCs w:val="24"/>
                <w:lang w:val="en-GB"/>
              </w:rPr>
              <w:t>（</w:t>
            </w:r>
            <w:r>
              <w:rPr>
                <w:rFonts w:hint="eastAsia" w:ascii="Times New Roman" w:hAnsi="Times New Roman" w:eastAsia="华文楷体"/>
                <w:sz w:val="24"/>
                <w:szCs w:val="24"/>
                <w:lang w:val="en-GB"/>
              </w:rPr>
              <w:t>“</w:t>
            </w:r>
            <w:r>
              <w:rPr>
                <w:rFonts w:ascii="Times New Roman" w:hAnsi="Times New Roman" w:eastAsia="华文楷体"/>
                <w:b/>
                <w:sz w:val="24"/>
                <w:szCs w:val="24"/>
                <w:lang w:val="en-GB"/>
              </w:rPr>
              <w:t>目标公司</w:t>
            </w:r>
            <w:r>
              <w:rPr>
                <w:rFonts w:hint="eastAsia" w:ascii="Times New Roman" w:hAnsi="Times New Roman" w:eastAsia="华文楷体"/>
                <w:sz w:val="24"/>
                <w:szCs w:val="24"/>
                <w:lang w:val="en-GB"/>
              </w:rPr>
              <w:t>”</w:t>
            </w:r>
            <w:r>
              <w:rPr>
                <w:rFonts w:ascii="Times New Roman" w:hAnsi="Times New Roman" w:eastAsia="华文楷体"/>
                <w:sz w:val="24"/>
                <w:szCs w:val="24"/>
                <w:lang w:val="en-GB"/>
              </w:rPr>
              <w:t>）全部已发行股本事宜。</w:t>
            </w:r>
            <w:r>
              <w:rPr>
                <w:rFonts w:hint="eastAsia" w:ascii="Times New Roman" w:hAnsi="Times New Roman" w:eastAsia="华文楷体"/>
                <w:sz w:val="24"/>
                <w:szCs w:val="24"/>
                <w:lang w:val="en-GB"/>
              </w:rPr>
              <w:t>买方</w:t>
            </w:r>
            <w:r>
              <w:rPr>
                <w:rFonts w:ascii="Times New Roman" w:hAnsi="Times New Roman" w:eastAsia="华文楷体"/>
                <w:sz w:val="24"/>
                <w:szCs w:val="24"/>
                <w:lang w:val="en-GB"/>
              </w:rPr>
              <w:t>将</w:t>
            </w:r>
            <w:r>
              <w:rPr>
                <w:rFonts w:hint="eastAsia" w:ascii="Times New Roman" w:hAnsi="Times New Roman" w:eastAsia="华文楷体"/>
                <w:sz w:val="24"/>
                <w:szCs w:val="24"/>
                <w:lang w:val="en-GB"/>
              </w:rPr>
              <w:t>以</w:t>
            </w:r>
            <w:r>
              <w:rPr>
                <w:rFonts w:ascii="Times New Roman" w:hAnsi="Times New Roman" w:eastAsia="华文楷体"/>
                <w:sz w:val="24"/>
                <w:szCs w:val="24"/>
                <w:lang w:val="en-GB"/>
              </w:rPr>
              <w:t>公开要约方式</w:t>
            </w:r>
            <w:r>
              <w:rPr>
                <w:rFonts w:hint="eastAsia" w:ascii="Times New Roman" w:hAnsi="Times New Roman" w:eastAsia="华文楷体"/>
                <w:sz w:val="24"/>
                <w:szCs w:val="24"/>
                <w:lang w:val="en-GB"/>
              </w:rPr>
              <w:t>，</w:t>
            </w:r>
            <w:r>
              <w:rPr>
                <w:rFonts w:ascii="Times New Roman" w:hAnsi="Times New Roman" w:eastAsia="华文楷体"/>
                <w:sz w:val="24"/>
                <w:szCs w:val="24"/>
                <w:lang w:val="en-GB"/>
              </w:rPr>
              <w:t>通过一家特殊目的公司间接收购目标公司，各方在该特殊目的公司中持有的</w:t>
            </w:r>
            <w:r>
              <w:rPr>
                <w:rFonts w:hint="eastAsia" w:ascii="Times New Roman" w:hAnsi="Times New Roman" w:eastAsia="华文楷体"/>
                <w:sz w:val="24"/>
                <w:szCs w:val="24"/>
                <w:lang w:val="en-GB"/>
              </w:rPr>
              <w:t>股权</w:t>
            </w:r>
            <w:r>
              <w:rPr>
                <w:rFonts w:ascii="Times New Roman" w:hAnsi="Times New Roman" w:eastAsia="华文楷体"/>
                <w:sz w:val="24"/>
                <w:szCs w:val="24"/>
                <w:lang w:val="en-GB"/>
              </w:rPr>
              <w:t>均</w:t>
            </w:r>
            <w:r>
              <w:rPr>
                <w:rFonts w:hint="eastAsia" w:ascii="Times New Roman" w:hAnsi="Times New Roman" w:eastAsia="华文楷体"/>
                <w:sz w:val="24"/>
                <w:szCs w:val="24"/>
                <w:lang w:val="en-GB"/>
              </w:rPr>
              <w:t>不超过</w:t>
            </w:r>
            <w:r>
              <w:rPr>
                <w:rFonts w:ascii="Times New Roman" w:hAnsi="Times New Roman" w:eastAsia="华文楷体"/>
                <w:sz w:val="24"/>
                <w:szCs w:val="24"/>
                <w:lang w:val="en-GB"/>
              </w:rPr>
              <w:t>30%并</w:t>
            </w:r>
            <w:r>
              <w:rPr>
                <w:rFonts w:hint="eastAsia" w:ascii="Times New Roman" w:hAnsi="Times New Roman" w:eastAsia="华文楷体"/>
                <w:sz w:val="24"/>
                <w:szCs w:val="24"/>
                <w:lang w:val="en-GB"/>
              </w:rPr>
              <w:t>持有</w:t>
            </w:r>
            <w:r>
              <w:rPr>
                <w:rFonts w:ascii="Times New Roman" w:hAnsi="Times New Roman" w:eastAsia="华文楷体"/>
                <w:sz w:val="24"/>
                <w:szCs w:val="24"/>
                <w:lang w:val="en-GB"/>
              </w:rPr>
              <w:t>相同的投票权。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adjustRightInd w:val="0"/>
              <w:snapToGrid w:val="0"/>
              <w:spacing w:before="120" w:after="120" w:line="276" w:lineRule="auto"/>
              <w:jc w:val="left"/>
              <w:rPr>
                <w:rFonts w:ascii="Times New Roman" w:hAnsi="Times New Roman" w:eastAsia="华文楷体"/>
                <w:sz w:val="24"/>
                <w:szCs w:val="24"/>
              </w:rPr>
            </w:pPr>
            <w:r>
              <w:rPr>
                <w:rFonts w:ascii="Times New Roman" w:hAnsi="Times New Roman" w:eastAsia="华文楷体"/>
                <w:sz w:val="24"/>
                <w:szCs w:val="24"/>
              </w:rPr>
              <w:t>参与集中的经营者简介</w:t>
            </w: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ascii="Times New Roman" w:hAnsi="Times New Roman" w:eastAsia="华文楷体"/>
                <w:sz w:val="24"/>
                <w:szCs w:val="24"/>
              </w:rPr>
              <w:t>CPPIB</w:t>
            </w:r>
          </w:p>
        </w:tc>
        <w:tc>
          <w:tcPr>
            <w:tcW w:w="5153" w:type="dxa"/>
            <w:vAlign w:val="top"/>
          </w:tcPr>
          <w:p>
            <w:pPr>
              <w:adjustRightInd w:val="0"/>
              <w:snapToGrid w:val="0"/>
              <w:spacing w:before="120" w:after="120" w:line="276" w:lineRule="auto"/>
              <w:rPr>
                <w:rFonts w:ascii="Times New Roman" w:hAnsi="Times New Roman" w:eastAsia="华文楷体"/>
                <w:sz w:val="24"/>
                <w:szCs w:val="24"/>
              </w:rPr>
            </w:pPr>
            <w:r>
              <w:rPr>
                <w:rFonts w:hint="eastAsia" w:ascii="Times New Roman" w:hAnsi="Times New Roman" w:eastAsia="华文楷体"/>
                <w:sz w:val="24"/>
                <w:szCs w:val="24"/>
              </w:rPr>
              <w:t>CPPIB是一家专业投资管理机构，总部位于加拿大多伦多市。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adjustRightInd w:val="0"/>
              <w:snapToGrid w:val="0"/>
              <w:spacing w:before="120" w:after="120" w:line="276" w:lineRule="auto"/>
              <w:jc w:val="left"/>
              <w:rPr>
                <w:rFonts w:ascii="Times New Roman" w:hAnsi="Times New Roman" w:eastAsia="华文楷体"/>
                <w:sz w:val="24"/>
                <w:szCs w:val="24"/>
              </w:rPr>
            </w:pP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ascii="Times New Roman" w:hAnsi="Times New Roman" w:eastAsia="华文楷体"/>
                <w:sz w:val="24"/>
                <w:szCs w:val="24"/>
              </w:rPr>
              <w:t>OTPP</w:t>
            </w:r>
          </w:p>
        </w:tc>
        <w:tc>
          <w:tcPr>
            <w:tcW w:w="5153" w:type="dxa"/>
            <w:vAlign w:val="top"/>
          </w:tcPr>
          <w:p>
            <w:pPr>
              <w:adjustRightInd w:val="0"/>
              <w:snapToGrid w:val="0"/>
              <w:spacing w:before="120" w:after="120" w:line="276" w:lineRule="auto"/>
              <w:rPr>
                <w:rFonts w:ascii="Times New Roman" w:hAnsi="Times New Roman" w:eastAsia="华文楷体"/>
                <w:sz w:val="24"/>
                <w:szCs w:val="24"/>
              </w:rPr>
            </w:pPr>
            <w:r>
              <w:rPr>
                <w:rFonts w:hint="eastAsia" w:ascii="Times New Roman" w:hAnsi="Times New Roman" w:eastAsia="华文楷体"/>
                <w:sz w:val="24"/>
                <w:szCs w:val="24"/>
              </w:rPr>
              <w:t>OTPP是加拿大最大的单一型专业化退休金计划，总部位于加拿大安大略省多伦多，主要从事退休金管理和计划资产投资。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adjustRightInd w:val="0"/>
              <w:snapToGrid w:val="0"/>
              <w:spacing w:before="120" w:after="120" w:line="276" w:lineRule="auto"/>
              <w:jc w:val="left"/>
              <w:rPr>
                <w:rFonts w:ascii="Times New Roman" w:hAnsi="Times New Roman" w:eastAsia="华文楷体"/>
                <w:sz w:val="24"/>
                <w:szCs w:val="24"/>
              </w:rPr>
            </w:pP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hint="eastAsia" w:ascii="Times New Roman" w:hAnsi="Times New Roman" w:eastAsia="华文楷体"/>
                <w:sz w:val="24"/>
                <w:szCs w:val="24"/>
                <w:lang w:val="en-GB"/>
              </w:rPr>
              <w:t>华平投资</w:t>
            </w:r>
          </w:p>
        </w:tc>
        <w:tc>
          <w:tcPr>
            <w:tcW w:w="5153" w:type="dxa"/>
            <w:vAlign w:val="top"/>
          </w:tcPr>
          <w:p>
            <w:pPr>
              <w:adjustRightInd w:val="0"/>
              <w:snapToGrid w:val="0"/>
              <w:spacing w:before="120" w:after="120" w:line="276" w:lineRule="auto"/>
              <w:rPr>
                <w:rFonts w:ascii="Times New Roman" w:hAnsi="Times New Roman" w:eastAsia="华文楷体"/>
                <w:sz w:val="24"/>
                <w:szCs w:val="24"/>
                <w:lang w:val="en-GB"/>
              </w:rPr>
            </w:pPr>
            <w:r>
              <w:rPr>
                <w:rFonts w:hint="eastAsia" w:ascii="Times New Roman" w:hAnsi="Times New Roman" w:eastAsia="华文楷体"/>
                <w:sz w:val="24"/>
                <w:szCs w:val="24"/>
                <w:lang w:val="en-GB"/>
              </w:rPr>
              <w:t>华平投资是一家私募股权公司，私募股权投资是其在全球范围内开展的唯一业务。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5" w:hRule="atLeast"/>
        </w:trPr>
        <w:tc>
          <w:tcPr>
            <w:tcW w:w="1809" w:type="dxa"/>
            <w:vMerge w:val="continue"/>
            <w:shd w:val="clear" w:color="auto" w:fill="D9D9D9"/>
            <w:vAlign w:val="top"/>
          </w:tcPr>
          <w:p>
            <w:pPr>
              <w:adjustRightInd w:val="0"/>
              <w:snapToGrid w:val="0"/>
              <w:spacing w:after="200" w:line="276" w:lineRule="auto"/>
              <w:rPr>
                <w:rFonts w:ascii="Times New Roman" w:hAnsi="Times New Roman" w:eastAsia="华文楷体"/>
                <w:sz w:val="24"/>
                <w:szCs w:val="24"/>
              </w:rPr>
            </w:pP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hint="eastAsia" w:ascii="Times New Roman" w:hAnsi="Times New Roman" w:eastAsia="华文楷体"/>
                <w:sz w:val="24"/>
                <w:szCs w:val="24"/>
              </w:rPr>
              <w:t>安佰深</w:t>
            </w:r>
          </w:p>
        </w:tc>
        <w:tc>
          <w:tcPr>
            <w:tcW w:w="5153" w:type="dxa"/>
            <w:vAlign w:val="top"/>
          </w:tcPr>
          <w:p>
            <w:pPr>
              <w:adjustRightInd w:val="0"/>
              <w:snapToGrid w:val="0"/>
              <w:spacing w:before="120" w:after="120" w:line="276" w:lineRule="auto"/>
              <w:rPr>
                <w:rFonts w:ascii="Times New Roman" w:hAnsi="Times New Roman" w:eastAsia="华文楷体"/>
                <w:sz w:val="24"/>
                <w:szCs w:val="24"/>
                <w:lang w:val="en-GB"/>
              </w:rPr>
            </w:pPr>
            <w:r>
              <w:rPr>
                <w:rFonts w:hint="eastAsia" w:ascii="Times New Roman" w:hAnsi="Times New Roman" w:eastAsia="华文楷体"/>
                <w:sz w:val="24"/>
                <w:szCs w:val="24"/>
                <w:lang w:val="en-GB"/>
              </w:rPr>
              <w:t>安佰深是英国一家有限责任合伙企业，旗下众多实体为在多个领域投资的私募股权基金提供投资咨询服务。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7" w:hRule="atLeast"/>
        </w:trPr>
        <w:tc>
          <w:tcPr>
            <w:tcW w:w="1809" w:type="dxa"/>
            <w:vMerge w:val="continue"/>
            <w:shd w:val="clear" w:color="auto" w:fill="D9D9D9"/>
            <w:vAlign w:val="top"/>
          </w:tcPr>
          <w:p>
            <w:pPr>
              <w:adjustRightInd w:val="0"/>
              <w:snapToGrid w:val="0"/>
              <w:spacing w:after="200" w:line="276" w:lineRule="auto"/>
              <w:rPr>
                <w:rFonts w:ascii="Times New Roman" w:hAnsi="Times New Roman" w:eastAsia="华文楷体"/>
                <w:sz w:val="24"/>
                <w:szCs w:val="24"/>
              </w:rPr>
            </w:pP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hint="eastAsia" w:ascii="Times New Roman" w:hAnsi="Times New Roman" w:eastAsia="华文楷体"/>
                <w:sz w:val="24"/>
                <w:szCs w:val="24"/>
              </w:rPr>
              <w:t>目标公司</w:t>
            </w:r>
          </w:p>
        </w:tc>
        <w:tc>
          <w:tcPr>
            <w:tcW w:w="5153" w:type="dxa"/>
            <w:vAlign w:val="top"/>
          </w:tcPr>
          <w:p>
            <w:pPr>
              <w:adjustRightInd w:val="0"/>
              <w:snapToGrid w:val="0"/>
              <w:spacing w:before="120" w:after="120" w:line="276" w:lineRule="auto"/>
              <w:rPr>
                <w:rFonts w:ascii="Times New Roman" w:hAnsi="Times New Roman" w:eastAsia="华文楷体"/>
                <w:sz w:val="24"/>
                <w:szCs w:val="24"/>
              </w:rPr>
            </w:pPr>
            <w:r>
              <w:rPr>
                <w:rFonts w:hint="eastAsia" w:ascii="Times New Roman" w:hAnsi="Times New Roman" w:eastAsia="华文楷体"/>
                <w:sz w:val="24"/>
                <w:szCs w:val="24"/>
              </w:rPr>
              <w:t>目标公司是一家英国上市公司，在全球范围内提供双向移动卫星通信服务。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adjustRightInd w:val="0"/>
              <w:snapToGrid w:val="0"/>
              <w:spacing w:before="120" w:after="120" w:line="276" w:lineRule="auto"/>
              <w:jc w:val="left"/>
              <w:rPr>
                <w:rFonts w:ascii="Times New Roman" w:hAnsi="Times New Roman" w:eastAsia="华文楷体"/>
                <w:sz w:val="22"/>
              </w:rPr>
            </w:pPr>
            <w:r>
              <w:rPr>
                <w:rFonts w:ascii="Times New Roman" w:hAnsi="Times New Roman" w:eastAsia="华文楷体"/>
                <w:sz w:val="24"/>
                <w:szCs w:val="24"/>
              </w:rPr>
              <w:t>简易案件理由（可以单选，也可以多选）</w:t>
            </w: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24"/>
                <w:szCs w:val="24"/>
              </w:rPr>
              <w:sym w:font="Wingdings" w:char="F0FE"/>
            </w:r>
            <w:r>
              <w:rPr>
                <w:rFonts w:ascii="Times New Roman" w:hAnsi="Times New Roman" w:eastAsia="华文楷体"/>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top"/>
          </w:tcPr>
          <w:p>
            <w:pPr>
              <w:adjustRightInd w:val="0"/>
              <w:snapToGrid w:val="0"/>
              <w:spacing w:before="120" w:after="120" w:line="276" w:lineRule="auto"/>
              <w:rPr>
                <w:rFonts w:ascii="Times New Roman" w:hAnsi="Times New Roman" w:eastAsia="华文楷体"/>
                <w:sz w:val="22"/>
              </w:rPr>
            </w:pPr>
            <w:r>
              <w:rPr>
                <w:rFonts w:ascii="Times New Roman" w:hAnsi="Times New Roman" w:eastAsia="华文楷体"/>
                <w:sz w:val="24"/>
                <w:szCs w:val="24"/>
              </w:rPr>
              <w:t>备注</w:t>
            </w:r>
          </w:p>
        </w:tc>
        <w:tc>
          <w:tcPr>
            <w:tcW w:w="6949" w:type="dxa"/>
            <w:gridSpan w:val="2"/>
            <w:vAlign w:val="top"/>
          </w:tcPr>
          <w:p>
            <w:pPr>
              <w:adjustRightInd w:val="0"/>
              <w:snapToGrid w:val="0"/>
              <w:rPr>
                <w:rFonts w:hint="eastAsia" w:ascii="Times New Roman" w:hAnsi="Times New Roman" w:eastAsia="华文楷体"/>
                <w:sz w:val="22"/>
              </w:rPr>
            </w:pPr>
            <w:r>
              <w:rPr>
                <w:rFonts w:hint="eastAsia" w:ascii="Times New Roman" w:hAnsi="Times New Roman" w:eastAsia="华文楷体"/>
                <w:b/>
                <w:sz w:val="22"/>
              </w:rPr>
              <w:t>相关产品市场</w:t>
            </w:r>
            <w:r>
              <w:rPr>
                <w:rFonts w:hint="eastAsia" w:ascii="Times New Roman" w:hAnsi="Times New Roman" w:eastAsia="华文楷体"/>
                <w:sz w:val="22"/>
              </w:rPr>
              <w:t>：</w:t>
            </w:r>
            <w:r>
              <w:rPr>
                <w:rFonts w:hint="eastAsia" w:ascii="Times New Roman" w:hAnsi="Times New Roman" w:eastAsia="华文楷体"/>
                <w:sz w:val="24"/>
                <w:szCs w:val="24"/>
              </w:rPr>
              <w:t>双向移动卫星通信服务</w:t>
            </w:r>
          </w:p>
          <w:p>
            <w:pPr>
              <w:adjustRightInd w:val="0"/>
              <w:snapToGrid w:val="0"/>
              <w:rPr>
                <w:rFonts w:hint="eastAsia" w:ascii="Times New Roman" w:hAnsi="Times New Roman" w:eastAsia="华文楷体"/>
                <w:sz w:val="22"/>
              </w:rPr>
            </w:pPr>
            <w:r>
              <w:rPr>
                <w:rFonts w:hint="eastAsia" w:ascii="Times New Roman" w:hAnsi="Times New Roman" w:eastAsia="华文楷体"/>
                <w:b/>
                <w:sz w:val="22"/>
              </w:rPr>
              <w:t>相关地域市场</w:t>
            </w:r>
            <w:r>
              <w:rPr>
                <w:rFonts w:hint="eastAsia" w:ascii="Times New Roman" w:hAnsi="Times New Roman" w:eastAsia="华文楷体"/>
                <w:sz w:val="22"/>
              </w:rPr>
              <w:t>：全球市场</w:t>
            </w:r>
          </w:p>
          <w:p>
            <w:pPr>
              <w:adjustRightInd w:val="0"/>
              <w:snapToGrid w:val="0"/>
              <w:rPr>
                <w:rFonts w:hint="eastAsia" w:ascii="Times New Roman" w:hAnsi="Times New Roman" w:eastAsia="华文楷体"/>
                <w:sz w:val="22"/>
              </w:rPr>
            </w:pPr>
            <w:r>
              <w:rPr>
                <w:rFonts w:hint="eastAsia" w:ascii="Times New Roman" w:hAnsi="Times New Roman" w:eastAsia="华文楷体"/>
                <w:b/>
                <w:sz w:val="22"/>
              </w:rPr>
              <w:t>各方市场份额</w:t>
            </w:r>
            <w:r>
              <w:rPr>
                <w:rFonts w:hint="eastAsia" w:ascii="Times New Roman" w:hAnsi="Times New Roman" w:eastAsia="华文楷体"/>
                <w:sz w:val="22"/>
              </w:rPr>
              <w:t>：</w:t>
            </w:r>
          </w:p>
          <w:p>
            <w:pPr>
              <w:numPr>
                <w:ilvl w:val="0"/>
                <w:numId w:val="1"/>
              </w:numPr>
              <w:adjustRightInd w:val="0"/>
              <w:snapToGrid w:val="0"/>
              <w:rPr>
                <w:rFonts w:ascii="Times New Roman" w:hAnsi="Times New Roman" w:eastAsia="华文楷体"/>
                <w:sz w:val="22"/>
              </w:rPr>
            </w:pPr>
            <w:r>
              <w:rPr>
                <w:rFonts w:ascii="Times New Roman" w:hAnsi="Times New Roman" w:eastAsia="华文楷体"/>
                <w:sz w:val="22"/>
              </w:rPr>
              <w:t>CPPIB</w:t>
            </w:r>
            <w:r>
              <w:rPr>
                <w:rFonts w:hint="eastAsia" w:ascii="Times New Roman" w:hAnsi="Times New Roman" w:eastAsia="华文楷体"/>
                <w:sz w:val="22"/>
              </w:rPr>
              <w:t>：无</w:t>
            </w:r>
          </w:p>
          <w:p>
            <w:pPr>
              <w:numPr>
                <w:ilvl w:val="0"/>
                <w:numId w:val="1"/>
              </w:numPr>
              <w:adjustRightInd w:val="0"/>
              <w:snapToGrid w:val="0"/>
              <w:rPr>
                <w:rFonts w:ascii="Times New Roman" w:hAnsi="Times New Roman" w:eastAsia="华文楷体"/>
                <w:sz w:val="22"/>
              </w:rPr>
            </w:pPr>
            <w:r>
              <w:rPr>
                <w:rFonts w:ascii="Times New Roman" w:hAnsi="Times New Roman" w:eastAsia="华文楷体"/>
                <w:sz w:val="22"/>
              </w:rPr>
              <w:t>OTPP</w:t>
            </w:r>
            <w:r>
              <w:rPr>
                <w:rFonts w:hint="eastAsia" w:ascii="Times New Roman" w:hAnsi="Times New Roman" w:eastAsia="华文楷体"/>
                <w:sz w:val="22"/>
              </w:rPr>
              <w:t>：无</w:t>
            </w:r>
          </w:p>
          <w:p>
            <w:pPr>
              <w:numPr>
                <w:ilvl w:val="0"/>
                <w:numId w:val="1"/>
              </w:numPr>
              <w:adjustRightInd w:val="0"/>
              <w:snapToGrid w:val="0"/>
              <w:rPr>
                <w:rFonts w:hint="eastAsia" w:ascii="Times New Roman" w:hAnsi="Times New Roman" w:eastAsia="华文楷体"/>
                <w:sz w:val="22"/>
              </w:rPr>
            </w:pPr>
            <w:r>
              <w:rPr>
                <w:rFonts w:hint="eastAsia" w:ascii="Times New Roman" w:hAnsi="Times New Roman" w:eastAsia="华文楷体"/>
                <w:sz w:val="22"/>
              </w:rPr>
              <w:t>华平投资：无</w:t>
            </w:r>
          </w:p>
          <w:p>
            <w:pPr>
              <w:numPr>
                <w:ilvl w:val="0"/>
                <w:numId w:val="1"/>
              </w:numPr>
              <w:adjustRightInd w:val="0"/>
              <w:snapToGrid w:val="0"/>
              <w:rPr>
                <w:rFonts w:hint="eastAsia" w:ascii="Times New Roman" w:hAnsi="Times New Roman" w:eastAsia="华文楷体"/>
                <w:sz w:val="22"/>
              </w:rPr>
            </w:pPr>
            <w:r>
              <w:rPr>
                <w:rFonts w:hint="eastAsia" w:ascii="Times New Roman" w:hAnsi="Times New Roman" w:eastAsia="华文楷体"/>
                <w:sz w:val="22"/>
              </w:rPr>
              <w:t>安佰深：无</w:t>
            </w:r>
          </w:p>
          <w:p>
            <w:pPr>
              <w:numPr>
                <w:ilvl w:val="0"/>
                <w:numId w:val="1"/>
              </w:numPr>
              <w:adjustRightInd w:val="0"/>
              <w:snapToGrid w:val="0"/>
              <w:rPr>
                <w:rFonts w:ascii="Times New Roman" w:hAnsi="Times New Roman" w:eastAsia="华文楷体"/>
                <w:sz w:val="22"/>
              </w:rPr>
            </w:pPr>
            <w:r>
              <w:rPr>
                <w:rFonts w:hint="eastAsia" w:ascii="Times New Roman" w:hAnsi="Times New Roman" w:eastAsia="华文楷体"/>
                <w:sz w:val="22"/>
              </w:rPr>
              <w:t>目标公司：[10-15]%</w:t>
            </w:r>
          </w:p>
        </w:tc>
      </w:tr>
    </w:tbl>
    <w:p>
      <w:pPr>
        <w:rPr>
          <w:rFonts w:ascii="Times New Roman" w:hAnsi="Times New Roman" w:eastAsia="华文楷体"/>
        </w:rPr>
      </w:pPr>
    </w:p>
    <w:p>
      <w:bookmarkStart w:id="0" w:name="_GoBack"/>
      <w:bookmarkEnd w:id="0"/>
    </w:p>
    <w:sectPr>
      <w:footerReference r:id="rId4" w:type="first"/>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20" w:lineRule="exact"/>
    </w:pPr>
    <w:r>
      <mc:AlternateContent>
        <mc:Choice Requires="wps">
          <w:drawing>
            <wp:anchor distT="0" distB="0" distL="114300" distR="114300" simplePos="0" relativeHeight="251658240" behindDoc="1" locked="0" layoutInCell="1" allowOverlap="1">
              <wp:simplePos x="0" y="0"/>
              <wp:positionH relativeFrom="margin">
                <wp:posOffset>0</wp:posOffset>
              </wp:positionH>
              <wp:positionV relativeFrom="paragraph">
                <wp:posOffset>-126365</wp:posOffset>
              </wp:positionV>
              <wp:extent cx="2560320" cy="255905"/>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ffectLst/>
                    </wps:spPr>
                    <wps:txbx>
                      <w:txbxContent>
                        <w:p>
                          <w:pPr>
                            <w:pStyle w:val="5"/>
                          </w:pPr>
                          <w:r>
                            <w:fldChar w:fldCharType="begin"/>
                          </w:r>
                          <w:r>
                            <w:instrText xml:space="preserve"> DOCPROPERTY  docId </w:instrText>
                          </w:r>
                          <w:r>
                            <w:fldChar w:fldCharType="separate"/>
                          </w:r>
                          <w:r>
                            <w:t>BEI1140306</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2</w:instrText>
                          </w:r>
                          <w:r>
                            <w:fldChar w:fldCharType="end"/>
                          </w:r>
                          <w:r>
                            <w:instrText xml:space="preserve">"</w:instrText>
                          </w:r>
                          <w:r>
                            <w:fldChar w:fldCharType="separate"/>
                          </w:r>
                          <w:r>
                            <w:t>/2</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separate"/>
                          </w:r>
                          <w:r>
                            <w:instrText xml:space="preserve">111827-0139</w:instrText>
                          </w:r>
                          <w:r>
                            <w:fldChar w:fldCharType="end"/>
                          </w:r>
                          <w:r>
                            <w:instrText xml:space="preserve">  </w:instrText>
                          </w:r>
                          <w:r>
                            <w:fldChar w:fldCharType="separate"/>
                          </w:r>
                          <w:r>
                            <w:t>111827-0139</w:t>
                          </w:r>
                          <w:r>
                            <w:fldChar w:fldCharType="end"/>
                          </w:r>
                        </w:p>
                        <w:p>
                          <w:pPr>
                            <w:pStyle w:val="5"/>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0pt;margin-top:-9.95pt;height:20.15pt;width:201.6pt;mso-position-horizontal-relative:margin;z-index:-251658240;mso-width-relative:page;mso-height-relative:page;" filled="f" stroked="f" coordsize="21600,21600" o:gfxdata="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eC+vN1wAAAAcBAAAPAAAAAAAAAAEAIAAAACIAAABkcnMvZG93bnJldi54bWxQSwEC&#10;FAAUAAAACACHTuJAxTZriPUBAADFAwAADgAAAAAAAAABACAAAAAmAQAAZHJzL2Uyb0RvYy54bWxQ&#10;SwUGAAAAAAYABgBZAQAAjQUAAAAA&#10;">
              <v:path/>
              <v:fill on="f" focussize="0,0"/>
              <v:stroke on="f"/>
              <v:imagedata o:title=""/>
              <o:lock v:ext="edit"/>
              <v:textbox inset="0mm,0mm,0mm,0mm">
                <w:txbxContent>
                  <w:p>
                    <w:pPr>
                      <w:pStyle w:val="5"/>
                    </w:pPr>
                    <w:r>
                      <w:fldChar w:fldCharType="begin"/>
                    </w:r>
                    <w:r>
                      <w:instrText xml:space="preserve"> DOCPROPERTY  docId </w:instrText>
                    </w:r>
                    <w:r>
                      <w:fldChar w:fldCharType="separate"/>
                    </w:r>
                    <w:r>
                      <w:t>BEI1140306</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2</w:instrText>
                    </w:r>
                    <w:r>
                      <w:fldChar w:fldCharType="end"/>
                    </w:r>
                    <w:r>
                      <w:instrText xml:space="preserve">"</w:instrText>
                    </w:r>
                    <w:r>
                      <w:fldChar w:fldCharType="separate"/>
                    </w:r>
                    <w:r>
                      <w:t>/2</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separate"/>
                    </w:r>
                    <w:r>
                      <w:instrText xml:space="preserve">111827-0139</w:instrText>
                    </w:r>
                    <w:r>
                      <w:fldChar w:fldCharType="end"/>
                    </w:r>
                    <w:r>
                      <w:instrText xml:space="preserve">  </w:instrText>
                    </w:r>
                    <w:r>
                      <w:fldChar w:fldCharType="separate"/>
                    </w:r>
                    <w:r>
                      <w:t>111827-0139</w:t>
                    </w:r>
                    <w:r>
                      <w:fldChar w:fldCharType="end"/>
                    </w:r>
                  </w:p>
                  <w:p>
                    <w:pPr>
                      <w:pStyle w:val="5"/>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FD4BBF"/>
    <w:multiLevelType w:val="multilevel"/>
    <w:tmpl w:val="5BFD4BBF"/>
    <w:lvl w:ilvl="0" w:tentative="0">
      <w:start w:val="1"/>
      <w:numFmt w:val="bullet"/>
      <w:lvlText w:val="-"/>
      <w:lvlJc w:val="left"/>
      <w:pPr>
        <w:ind w:left="720" w:hanging="360"/>
      </w:pPr>
      <w:rPr>
        <w:rFonts w:hint="default" w:ascii="Times New Roman" w:hAnsi="Times New Roman" w:eastAsia="华文楷体"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F4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kern w:val="0"/>
      <w:sz w:val="18"/>
      <w:szCs w:val="18"/>
    </w:rPr>
  </w:style>
  <w:style w:type="paragraph" w:customStyle="1" w:styleId="5">
    <w:name w:val="MacPac Trailer"/>
    <w:qFormat/>
    <w:uiPriority w:val="0"/>
    <w:pPr>
      <w:widowControl w:val="0"/>
      <w:spacing w:line="170" w:lineRule="exact"/>
    </w:pPr>
    <w:rPr>
      <w:rFonts w:ascii="Times New Roman" w:hAnsi="Times New Roman" w:eastAsia="Times New Roman"/>
      <w:sz w:val="14"/>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2019-06-13T08:36:02Z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